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10AC3">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3GPP TSG-RAN WG2 Meeting #132</w:t>
      </w:r>
      <w:r>
        <w:rPr>
          <w:rFonts w:ascii="Arial" w:hAnsi="Arial" w:eastAsia="MS Mincho" w:cs="Times New Roman"/>
          <w:b/>
          <w:sz w:val="24"/>
          <w:szCs w:val="24"/>
          <w:lang w:val="en-US" w:eastAsia="zh-CN" w:bidi="ar-SA"/>
        </w:rPr>
        <w:tab/>
      </w:r>
      <w:r>
        <w:rPr>
          <w:rFonts w:ascii="Arial" w:hAnsi="Arial" w:eastAsia="MS Mincho" w:cs="Times New Roman"/>
          <w:b/>
          <w:sz w:val="24"/>
          <w:szCs w:val="24"/>
          <w:lang w:val="en-US" w:eastAsia="zh-CN" w:bidi="ar-SA"/>
        </w:rPr>
        <w:t>R2-250</w:t>
      </w:r>
      <w:r>
        <w:rPr>
          <w:rFonts w:hint="eastAsia" w:ascii="Arial" w:hAnsi="Arial" w:eastAsia="MS Mincho" w:cs="Times New Roman"/>
          <w:b/>
          <w:sz w:val="24"/>
          <w:szCs w:val="24"/>
          <w:lang w:val="en-US" w:eastAsia="zh-CN" w:bidi="ar-SA"/>
        </w:rPr>
        <w:t>8178</w:t>
      </w:r>
    </w:p>
    <w:p w14:paraId="01D40C01">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 xml:space="preserve">Dallas, USA, Nov. 17th-21st  </w:t>
      </w:r>
    </w:p>
    <w:p w14:paraId="2F9B299E">
      <w:pPr>
        <w:spacing w:before="40"/>
        <w:rPr>
          <w:rFonts w:ascii="Arial" w:hAnsi="Arial" w:eastAsia="MS Mincho" w:cs="Times New Roman"/>
          <w:i/>
          <w:sz w:val="18"/>
          <w:szCs w:val="24"/>
          <w:lang w:val="en-US" w:eastAsia="en-GB" w:bidi="ar-SA"/>
        </w:rPr>
      </w:pPr>
    </w:p>
    <w:p w14:paraId="0D9C8E9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21191186">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bookmarkStart w:id="2" w:name="_GoBack"/>
      <w:r>
        <w:rPr>
          <w:rFonts w:hint="eastAsia" w:ascii="Times New Roman" w:hAnsi="Times New Roman" w:cs="Times New Roman"/>
          <w:b/>
          <w:sz w:val="24"/>
          <w:szCs w:val="24"/>
          <w:lang w:val="en-US" w:eastAsia="zh-CN"/>
        </w:rPr>
        <w:t>Discussion on Intra-RAT Connected Mobility for 6GR</w:t>
      </w:r>
      <w:bookmarkEnd w:id="2"/>
    </w:p>
    <w:p w14:paraId="1DFE2CEF">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ascii="Times New Roman" w:hAnsi="Times New Roman" w:cs="Times New Roman"/>
          <w:b/>
          <w:sz w:val="24"/>
          <w:szCs w:val="24"/>
        </w:rPr>
        <w:t>10.4</w:t>
      </w:r>
    </w:p>
    <w:p w14:paraId="0284A75D">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5"/>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44215B01">
      <w:pPr>
        <w:numPr>
          <w:ilvl w:val="0"/>
          <w:numId w:val="0"/>
        </w:numPr>
        <w:ind w:leftChars="0"/>
        <w:jc w:val="both"/>
        <w:rPr>
          <w:rFonts w:hint="eastAsia" w:ascii="Times New Roman" w:hAnsi="Times New Roman"/>
          <w:sz w:val="20"/>
          <w:szCs w:val="20"/>
          <w:lang w:val="en-US" w:eastAsia="zh-CN"/>
        </w:rPr>
      </w:pPr>
      <w:bookmarkStart w:id="0" w:name="_Toc54284460"/>
      <w:r>
        <w:rPr>
          <w:rFonts w:hint="default" w:ascii="Times New Roman" w:hAnsi="Times New Roman"/>
          <w:sz w:val="20"/>
          <w:szCs w:val="20"/>
          <w:lang w:eastAsia="zh-CN"/>
        </w:rPr>
        <w:t>According to the RAN</w:t>
      </w:r>
      <w:r>
        <w:rPr>
          <w:rFonts w:hint="eastAsia" w:ascii="Times New Roman" w:hAnsi="Times New Roman"/>
          <w:sz w:val="20"/>
          <w:szCs w:val="20"/>
          <w:lang w:val="en-US" w:eastAsia="zh-CN"/>
        </w:rPr>
        <w:t>2 #131bis</w:t>
      </w:r>
      <w:r>
        <w:rPr>
          <w:rFonts w:hint="default" w:ascii="Times New Roman" w:hAnsi="Times New Roman"/>
          <w:sz w:val="20"/>
          <w:szCs w:val="20"/>
          <w:lang w:eastAsia="zh-CN"/>
        </w:rPr>
        <w:t xml:space="preserve"> Meeting</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eastAsia" w:ascii="Times New Roman Regular" w:hAnsi="Times New Roman Regular" w:cs="Times New Roman Regular"/>
          <w:i w:val="0"/>
          <w:iCs/>
          <w:color w:val="auto"/>
          <w:sz w:val="21"/>
          <w:szCs w:val="21"/>
          <w:lang w:val="en-US" w:eastAsia="zh-CN"/>
        </w:rPr>
        <w:t>agreements on</w:t>
      </w:r>
      <w:r>
        <w:rPr>
          <w:rFonts w:hint="eastAsia" w:ascii="Times New Roman" w:hAnsi="Times New Roman" w:eastAsia="宋体" w:cs="Times New Roman"/>
          <w:kern w:val="0"/>
          <w:sz w:val="20"/>
          <w:szCs w:val="20"/>
          <w:lang w:val="en-US" w:eastAsia="zh-CN"/>
        </w:rPr>
        <w:t xml:space="preserve"> Mobility</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40967CEC">
      <w:pPr>
        <w:numPr>
          <w:ilvl w:val="0"/>
          <w:numId w:val="0"/>
        </w:numPr>
        <w:ind w:leftChars="0"/>
        <w:jc w:val="both"/>
        <w:rPr>
          <w:rFonts w:hint="default" w:ascii="Times New Roman" w:hAnsi="Times New Roman"/>
          <w:sz w:val="20"/>
          <w:szCs w:val="20"/>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F01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5A73EF9D">
            <w:pPr>
              <w:pStyle w:val="56"/>
              <w:bidi w:val="0"/>
            </w:pPr>
            <w:r>
              <w:t>Study mobility with the following requirements in 6G mobility design:</w:t>
            </w:r>
          </w:p>
          <w:p w14:paraId="42697E97">
            <w:pPr>
              <w:pStyle w:val="56"/>
              <w:bidi w:val="0"/>
            </w:pPr>
            <w:r>
              <w:t>-</w:t>
            </w:r>
            <w:r>
              <w:tab/>
            </w:r>
            <w:r>
              <w:t xml:space="preserve">Minimize interruption time and ensure service continuity (i.e. minimize throughput degradation during mobility). Consider complexity and gains when discussing solutions.   </w:t>
            </w:r>
          </w:p>
          <w:p w14:paraId="2C7905A4">
            <w:pPr>
              <w:pStyle w:val="56"/>
              <w:bidi w:val="0"/>
            </w:pPr>
            <w:r>
              <w:t>-</w:t>
            </w:r>
            <w:r>
              <w:tab/>
            </w:r>
            <w:r>
              <w:t xml:space="preserve">Robustness of mobility procedures </w:t>
            </w:r>
          </w:p>
          <w:p w14:paraId="6C201234">
            <w:pPr>
              <w:pStyle w:val="56"/>
              <w:bidi w:val="0"/>
            </w:pPr>
            <w:r>
              <w:t>-</w:t>
            </w:r>
            <w:r>
              <w:tab/>
            </w:r>
            <w:r>
              <w:t>Energy efficiency for both UE and NW</w:t>
            </w:r>
          </w:p>
          <w:p w14:paraId="2A3D5725">
            <w:pPr>
              <w:pStyle w:val="56"/>
              <w:bidi w:val="0"/>
              <w:rPr>
                <w:rFonts w:hint="default" w:ascii="Times New Roman" w:hAnsi="Times New Roman" w:eastAsia="MS Mincho" w:cs="Times New Roman"/>
                <w:b/>
                <w:sz w:val="20"/>
                <w:szCs w:val="20"/>
                <w:vertAlign w:val="baseline"/>
                <w:lang w:val="en-GB" w:eastAsia="zh-Hans" w:bidi="ar-SA"/>
              </w:rPr>
            </w:pPr>
            <w:r>
              <w:t>Study aspects related to mobility (e.g. early DL/UL synchronization, UE configuration processing, pre-configurations, conditional handover, early CSI acquisition)</w:t>
            </w:r>
          </w:p>
        </w:tc>
      </w:tr>
    </w:tbl>
    <w:p w14:paraId="4D3B5890">
      <w:pPr>
        <w:widowControl w:val="0"/>
        <w:numPr>
          <w:ilvl w:val="0"/>
          <w:numId w:val="0"/>
        </w:numPr>
        <w:bidi w:val="0"/>
        <w:jc w:val="both"/>
        <w:rPr>
          <w:rFonts w:hint="default" w:ascii="Times New Roman Regular" w:hAnsi="Times New Roman Regular" w:cs="Times New Roman Regular"/>
          <w:szCs w:val="21"/>
        </w:rPr>
      </w:pPr>
    </w:p>
    <w:p w14:paraId="7FA58933">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this contribution, we aim to discuss intra-RAT Connected Mobility for 6GR.</w:t>
      </w:r>
    </w:p>
    <w:bookmarkEnd w:id="0"/>
    <w:p w14:paraId="57DCD879">
      <w:pPr>
        <w:pStyle w:val="2"/>
        <w:keepLines/>
        <w:numPr>
          <w:ilvl w:val="0"/>
          <w:numId w:val="5"/>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02F7B6F1">
      <w:pPr>
        <w:pStyle w:val="3"/>
        <w:numPr>
          <w:ilvl w:val="1"/>
          <w:numId w:val="5"/>
        </w:numPr>
        <w:bidi w:val="0"/>
        <w:ind w:left="830" w:leftChars="0" w:hanging="405" w:firstLineChars="0"/>
        <w:rPr>
          <w:rFonts w:hint="default" w:ascii="Times New Roman Bold" w:hAnsi="Times New Roman Bold" w:cs="Times New Roman Bold"/>
          <w:b/>
          <w:bCs/>
          <w:sz w:val="22"/>
          <w:szCs w:val="44"/>
          <w:lang w:val="en-US" w:eastAsia="zh-CN"/>
        </w:rPr>
      </w:pPr>
      <w:r>
        <w:rPr>
          <w:rFonts w:hint="eastAsia" w:ascii="Times New Roman Bold" w:hAnsi="Times New Roman Bold" w:cs="Times New Roman Bold"/>
          <w:b/>
          <w:bCs/>
          <w:sz w:val="22"/>
          <w:szCs w:val="44"/>
          <w:lang w:val="en-US" w:eastAsia="zh-CN"/>
        </w:rPr>
        <w:t xml:space="preserve"> </w:t>
      </w:r>
      <w:r>
        <w:rPr>
          <w:rFonts w:hint="default" w:ascii="Times New Roman Bold" w:hAnsi="Times New Roman Bold" w:cs="Times New Roman Bold"/>
          <w:b/>
          <w:bCs/>
          <w:sz w:val="22"/>
          <w:szCs w:val="44"/>
          <w:lang w:val="en-US" w:eastAsia="zh-CN"/>
        </w:rPr>
        <w:t xml:space="preserve">Discussion on unified, flexible mobility framework </w:t>
      </w:r>
    </w:p>
    <w:p w14:paraId="31F18806">
      <w:pPr>
        <w:rPr>
          <w:rFonts w:hint="default" w:ascii="Times New Roman" w:hAnsi="Times New Roman" w:cs="Times New Roman"/>
          <w:b w:val="0"/>
          <w:bCs w:val="0"/>
          <w:sz w:val="22"/>
          <w:szCs w:val="44"/>
          <w:lang w:val="en-US" w:eastAsia="zh-CN"/>
        </w:rPr>
      </w:pPr>
      <w:r>
        <w:rPr>
          <w:rFonts w:hint="default" w:ascii="Times New Roman Regular" w:hAnsi="Times New Roman Regular" w:cs="Times New Roman Regular"/>
          <w:lang w:val="en-US" w:eastAsia="zh-CN"/>
        </w:rPr>
        <w:t xml:space="preserve">Effective mobility management is critical for 6G networks to deliver seamless connectivity and meet diverse service requirements. </w:t>
      </w:r>
      <w:r>
        <w:rPr>
          <w:rFonts w:hint="default" w:ascii="Times New Roman" w:hAnsi="Times New Roman" w:cs="Times New Roman"/>
          <w:b w:val="0"/>
          <w:bCs w:val="0"/>
          <w:sz w:val="22"/>
          <w:szCs w:val="44"/>
          <w:lang w:val="en-US" w:eastAsia="zh-CN"/>
        </w:rPr>
        <w:t xml:space="preserve">In Release 15-18, 3GPP introduced various techniques to improve handover performance: </w:t>
      </w:r>
    </w:p>
    <w:p w14:paraId="653C0EDE">
      <w:pPr>
        <w:ind w:firstLine="420" w:firstLineChars="0"/>
        <w:rPr>
          <w:rFonts w:hint="default" w:ascii="Times New Roman" w:hAnsi="Times New Roman" w:cs="Times New Roman"/>
          <w:b w:val="0"/>
          <w:bCs w:val="0"/>
          <w:sz w:val="22"/>
          <w:szCs w:val="44"/>
          <w:lang w:val="en-US" w:eastAsia="zh-CN"/>
        </w:rPr>
      </w:pPr>
      <w:r>
        <w:rPr>
          <w:rFonts w:hint="default" w:ascii="Times New Roman" w:hAnsi="Times New Roman" w:cs="Times New Roman"/>
          <w:b w:val="0"/>
          <w:bCs w:val="0"/>
          <w:sz w:val="22"/>
          <w:szCs w:val="44"/>
          <w:lang w:val="en-US" w:eastAsia="zh-CN"/>
        </w:rPr>
        <w:t xml:space="preserve">- L3 Handover (Baseline): A conventional RRC-layer handover where the source gNB commands the UE to move to a target cell. It ensures basic mobility but can incur 50 ms or more interruption in optimized conditions. </w:t>
      </w:r>
    </w:p>
    <w:p w14:paraId="7BCF3D06">
      <w:pPr>
        <w:ind w:firstLine="420" w:firstLineChars="0"/>
        <w:rPr>
          <w:rFonts w:hint="default" w:ascii="Times New Roman" w:hAnsi="Times New Roman" w:cs="Times New Roman"/>
          <w:b w:val="0"/>
          <w:bCs w:val="0"/>
          <w:sz w:val="22"/>
          <w:szCs w:val="44"/>
          <w:lang w:val="en-US" w:eastAsia="zh-CN"/>
        </w:rPr>
      </w:pPr>
      <w:r>
        <w:rPr>
          <w:rFonts w:hint="default" w:ascii="Times New Roman" w:hAnsi="Times New Roman" w:cs="Times New Roman"/>
          <w:b w:val="0"/>
          <w:bCs w:val="0"/>
          <w:sz w:val="22"/>
          <w:szCs w:val="44"/>
          <w:lang w:val="en-US" w:eastAsia="zh-CN"/>
        </w:rPr>
        <w:t xml:space="preserve">- Conditional Handover (CHO): Allows the network to pre-configure one or more target cells and associated execution conditions at the UE. The UE will initiate handover to a prepared target when a condition (e.g., signal threshold) is met, without waiting for a new command. CHO improves reliability by reducing handover failures (a prepared backup is available) but does not significantly shorten the interruption time since the UE still performs random access on the target after condition trigger. </w:t>
      </w:r>
    </w:p>
    <w:p w14:paraId="5E9D707E">
      <w:pPr>
        <w:ind w:firstLine="420" w:firstLineChars="0"/>
        <w:rPr>
          <w:rFonts w:hint="default" w:ascii="Times New Roman" w:hAnsi="Times New Roman" w:cs="Times New Roman"/>
          <w:b w:val="0"/>
          <w:bCs w:val="0"/>
          <w:sz w:val="22"/>
          <w:szCs w:val="44"/>
          <w:lang w:val="en-US" w:eastAsia="zh-CN"/>
        </w:rPr>
      </w:pPr>
      <w:r>
        <w:rPr>
          <w:rFonts w:hint="default" w:ascii="Times New Roman" w:hAnsi="Times New Roman" w:cs="Times New Roman"/>
          <w:b w:val="0"/>
          <w:bCs w:val="0"/>
          <w:sz w:val="22"/>
          <w:szCs w:val="44"/>
          <w:lang w:val="en-US" w:eastAsia="zh-CN"/>
        </w:rPr>
        <w:t xml:space="preserve">- Layer 1/2 Triggered Mobility (LTM): A Rel-18 feature that shifts handover execution to lower layers to minimize interruption. The network provides the UE with a handover configuration for a candidate target in advance and later triggers the handover via L1/L2 signaling. Importantly, LTM enables early DL/UL synchronization with the target cell before the handover, so that the UE can access the target without a random access procedure, thereby drastically reducing interruption time (to the order of a few tens of milliseconds). This approach is considered a foundational step towards 6G mobility. </w:t>
      </w:r>
    </w:p>
    <w:p w14:paraId="156EAC31">
      <w:pPr>
        <w:ind w:firstLine="420" w:firstLineChars="0"/>
        <w:rPr>
          <w:rFonts w:hint="default" w:ascii="Times New Roman" w:hAnsi="Times New Roman" w:cs="Times New Roman"/>
          <w:b w:val="0"/>
          <w:bCs w:val="0"/>
          <w:sz w:val="22"/>
          <w:szCs w:val="44"/>
          <w:lang w:val="en-US" w:eastAsia="zh-CN"/>
        </w:rPr>
      </w:pPr>
      <w:r>
        <w:rPr>
          <w:rFonts w:hint="default" w:ascii="Times New Roman" w:hAnsi="Times New Roman" w:cs="Times New Roman"/>
          <w:b w:val="0"/>
          <w:bCs w:val="0"/>
          <w:sz w:val="22"/>
          <w:szCs w:val="44"/>
          <w:lang w:val="en-US" w:eastAsia="zh-CN"/>
        </w:rPr>
        <w:t>- Conditional LTM (e.g., C-LTM): An envisioned extension where multiple LTM candidates are configured with conditions. This would merge CHO’s multi-candidate reliability with LTM’s fast execution, allowing conditional triggers to initiate a pre-synchronized handover. While not standardized yet, it highlights the industry’s interest in combining features for better robustness and latency.</w:t>
      </w:r>
    </w:p>
    <w:p w14:paraId="7C019924">
      <w:pPr>
        <w:ind w:firstLine="420" w:firstLineChars="0"/>
        <w:rPr>
          <w:rFonts w:hint="default" w:ascii="Times New Roman" w:hAnsi="Times New Roman" w:cs="Times New Roman"/>
          <w:b w:val="0"/>
          <w:bCs w:val="0"/>
          <w:sz w:val="22"/>
          <w:szCs w:val="44"/>
          <w:lang w:val="en-US" w:eastAsia="zh-CN"/>
        </w:rPr>
      </w:pPr>
    </w:p>
    <w:p w14:paraId="05650FC9">
      <w:pPr>
        <w:rPr>
          <w:rFonts w:hint="default" w:ascii="Times New Roman" w:hAnsi="Times New Roman" w:cs="Times New Roman"/>
          <w:b w:val="0"/>
          <w:bCs w:val="0"/>
          <w:sz w:val="22"/>
          <w:szCs w:val="44"/>
          <w:lang w:val="en-US" w:eastAsia="zh-CN"/>
        </w:rPr>
      </w:pPr>
      <w:r>
        <w:rPr>
          <w:rFonts w:hint="default" w:ascii="Times New Roman" w:hAnsi="Times New Roman" w:cs="Times New Roman"/>
          <w:b w:val="0"/>
          <w:bCs w:val="0"/>
          <w:sz w:val="22"/>
          <w:szCs w:val="44"/>
          <w:lang w:val="en-US" w:eastAsia="zh-CN"/>
        </w:rPr>
        <w:t xml:space="preserve">Each of the above mechanisms addresses specific aspects (latency, reliability) but their parallel existence has led to a fragmented approach in mobility management. Maintaining separate signaling frameworks (RRC-based versus MAC/L1-based triggers, different measurement configurations for CHO vs. LTM, etc.) increases UE complexity and configuration overhead. </w:t>
      </w:r>
    </w:p>
    <w:p w14:paraId="7E2FF8D8">
      <w:pPr>
        <w:rPr>
          <w:rFonts w:hint="default" w:ascii="Times New Roman" w:hAnsi="Times New Roman" w:cs="Times New Roman"/>
          <w:b w:val="0"/>
          <w:bCs w:val="0"/>
          <w:sz w:val="22"/>
          <w:szCs w:val="44"/>
          <w:lang w:val="en-US" w:eastAsia="zh-CN"/>
        </w:rPr>
      </w:pPr>
    </w:p>
    <w:p w14:paraId="23DD279E">
      <w:pPr>
        <w:rPr>
          <w:rFonts w:hint="default" w:ascii="Times New Roman" w:hAnsi="Times New Roman" w:cs="Times New Roman"/>
          <w:b/>
          <w:bCs/>
          <w:sz w:val="22"/>
          <w:szCs w:val="44"/>
          <w:lang w:val="en-US" w:eastAsia="zh-CN"/>
        </w:rPr>
      </w:pPr>
      <w:r>
        <w:rPr>
          <w:rFonts w:hint="default" w:ascii="Times New Roman Bold" w:hAnsi="Times New Roman Bold" w:cs="Times New Roman Bold"/>
          <w:b/>
          <w:bCs/>
          <w:lang w:val="en-US" w:eastAsia="zh-CN"/>
        </w:rPr>
        <w:t>Observation 1</w:t>
      </w:r>
      <w:r>
        <w:rPr>
          <w:rFonts w:hint="eastAsia" w:ascii="Times New Roman Bold" w:hAnsi="Times New Roman Bold" w:cs="Times New Roman Bold"/>
          <w:b/>
          <w:bCs/>
          <w:lang w:val="en-US" w:eastAsia="zh-CN"/>
        </w:rPr>
        <w:t>：</w:t>
      </w:r>
      <w:r>
        <w:rPr>
          <w:rFonts w:hint="eastAsia" w:ascii="Times New Roman" w:hAnsi="Times New Roman"/>
          <w:b/>
          <w:bCs/>
          <w:lang w:val="en-US" w:eastAsia="zh-CN"/>
        </w:rPr>
        <w:t xml:space="preserve">In the existing 5G systerm, </w:t>
      </w:r>
      <w:r>
        <w:rPr>
          <w:rFonts w:hint="default" w:ascii="Times New Roman" w:hAnsi="Times New Roman" w:cs="Times New Roman"/>
          <w:b/>
          <w:bCs/>
          <w:sz w:val="22"/>
          <w:szCs w:val="44"/>
          <w:lang w:val="en-US" w:eastAsia="zh-CN"/>
        </w:rPr>
        <w:t xml:space="preserve">3GPP </w:t>
      </w:r>
      <w:r>
        <w:rPr>
          <w:rFonts w:hint="eastAsia" w:ascii="Times New Roman" w:hAnsi="Times New Roman" w:cs="Times New Roman"/>
          <w:b/>
          <w:bCs/>
          <w:sz w:val="22"/>
          <w:szCs w:val="44"/>
          <w:lang w:val="en-US" w:eastAsia="zh-CN"/>
        </w:rPr>
        <w:t xml:space="preserve">has </w:t>
      </w:r>
      <w:r>
        <w:rPr>
          <w:rFonts w:hint="default" w:ascii="Times New Roman" w:hAnsi="Times New Roman" w:cs="Times New Roman"/>
          <w:b/>
          <w:bCs/>
          <w:sz w:val="22"/>
          <w:szCs w:val="44"/>
          <w:lang w:val="en-US" w:eastAsia="zh-CN"/>
        </w:rPr>
        <w:t>introduced various techniques to improve handover performance</w:t>
      </w:r>
      <w:r>
        <w:rPr>
          <w:rFonts w:hint="eastAsia" w:ascii="Times New Roman" w:hAnsi="Times New Roman" w:cs="Times New Roman"/>
          <w:b/>
          <w:bCs/>
          <w:sz w:val="22"/>
          <w:szCs w:val="44"/>
          <w:lang w:val="en-US" w:eastAsia="zh-CN"/>
        </w:rPr>
        <w:t xml:space="preserve">, such as </w:t>
      </w:r>
      <w:r>
        <w:rPr>
          <w:rFonts w:hint="default" w:ascii="Times New Roman" w:hAnsi="Times New Roman" w:cs="Times New Roman"/>
          <w:b/>
          <w:bCs/>
          <w:sz w:val="22"/>
          <w:szCs w:val="44"/>
          <w:lang w:val="en-US" w:eastAsia="zh-CN"/>
        </w:rPr>
        <w:t>L3 Handover</w:t>
      </w:r>
      <w:r>
        <w:rPr>
          <w:rFonts w:hint="eastAsia" w:ascii="Times New Roman" w:hAnsi="Times New Roman" w:cs="Times New Roman"/>
          <w:b/>
          <w:bCs/>
          <w:sz w:val="22"/>
          <w:szCs w:val="44"/>
          <w:lang w:val="en-US" w:eastAsia="zh-CN"/>
        </w:rPr>
        <w:t xml:space="preserve">, CHO, LTM, C-LTM. However, </w:t>
      </w:r>
      <w:r>
        <w:rPr>
          <w:rFonts w:hint="default" w:ascii="Times New Roman" w:hAnsi="Times New Roman" w:cs="Times New Roman"/>
          <w:b/>
          <w:bCs/>
          <w:sz w:val="22"/>
          <w:szCs w:val="44"/>
          <w:lang w:val="en-US" w:eastAsia="zh-CN"/>
        </w:rPr>
        <w:t>Each of the above mechanisms addresses specific aspects (latency, reliability) but their parallel existence has led to a fragmented approach in mobility management</w:t>
      </w:r>
      <w:r>
        <w:rPr>
          <w:rFonts w:hint="eastAsia" w:ascii="Times New Roman" w:hAnsi="Times New Roman" w:cs="Times New Roman"/>
          <w:b/>
          <w:bCs/>
          <w:sz w:val="22"/>
          <w:szCs w:val="44"/>
          <w:lang w:val="en-US" w:eastAsia="zh-CN"/>
        </w:rPr>
        <w:t>.</w:t>
      </w:r>
    </w:p>
    <w:p w14:paraId="36B57D27">
      <w:pPr>
        <w:rPr>
          <w:rFonts w:hint="default" w:ascii="Times New Roman" w:hAnsi="Times New Roman" w:cs="Times New Roman"/>
          <w:b w:val="0"/>
          <w:bCs w:val="0"/>
          <w:sz w:val="22"/>
          <w:szCs w:val="44"/>
          <w:lang w:val="en-US" w:eastAsia="zh-CN"/>
        </w:rPr>
      </w:pPr>
    </w:p>
    <w:p w14:paraId="6AB7D56A">
      <w:pPr>
        <w:rPr>
          <w:rFonts w:hint="default" w:ascii="Times New Roman" w:hAnsi="Times New Roman" w:cs="Times New Roman"/>
          <w:b w:val="0"/>
          <w:bCs w:val="0"/>
          <w:sz w:val="22"/>
          <w:szCs w:val="44"/>
          <w:lang w:val="en-US" w:eastAsia="zh-CN"/>
        </w:rPr>
      </w:pPr>
      <w:r>
        <w:rPr>
          <w:rFonts w:hint="eastAsia" w:ascii="Times New Roman" w:hAnsi="Times New Roman" w:cs="Times New Roman"/>
          <w:b w:val="0"/>
          <w:bCs w:val="0"/>
          <w:sz w:val="22"/>
          <w:szCs w:val="44"/>
          <w:lang w:val="en-US" w:eastAsia="zh-CN"/>
        </w:rPr>
        <w:t>According to RAN2#131bis agreement, requirements in 6G mobility design should consider the following factors:</w:t>
      </w:r>
    </w:p>
    <w:p w14:paraId="70DE897C">
      <w:pPr>
        <w:numPr>
          <w:ilvl w:val="0"/>
          <w:numId w:val="6"/>
        </w:numPr>
        <w:ind w:left="420" w:leftChars="0" w:hanging="420" w:firstLineChars="0"/>
        <w:rPr>
          <w:rFonts w:hint="default" w:ascii="Times New Roman" w:hAnsi="Times New Roman" w:cs="Times New Roman"/>
          <w:b w:val="0"/>
          <w:bCs w:val="0"/>
          <w:sz w:val="22"/>
          <w:szCs w:val="44"/>
          <w:lang w:val="en-US" w:eastAsia="zh-CN"/>
        </w:rPr>
      </w:pPr>
      <w:r>
        <w:rPr>
          <w:rFonts w:hint="eastAsia" w:ascii="Times New Roman" w:hAnsi="Times New Roman" w:cs="Times New Roman"/>
          <w:b w:val="0"/>
          <w:bCs w:val="0"/>
          <w:sz w:val="22"/>
          <w:szCs w:val="44"/>
          <w:lang w:val="en-US" w:eastAsia="zh-CN"/>
        </w:rPr>
        <w:t>Minimize interruption time and ensure service continuity (i.e. minimize throughput degradation during mobility);</w:t>
      </w:r>
    </w:p>
    <w:p w14:paraId="3E142904">
      <w:pPr>
        <w:numPr>
          <w:ilvl w:val="0"/>
          <w:numId w:val="6"/>
        </w:numPr>
        <w:ind w:left="420" w:leftChars="0" w:hanging="420" w:firstLineChars="0"/>
        <w:rPr>
          <w:rFonts w:hint="default" w:ascii="Times New Roman" w:hAnsi="Times New Roman" w:cs="Times New Roman"/>
          <w:b w:val="0"/>
          <w:bCs w:val="0"/>
          <w:sz w:val="22"/>
          <w:szCs w:val="44"/>
          <w:lang w:val="en-US" w:eastAsia="zh-CN"/>
        </w:rPr>
      </w:pPr>
      <w:r>
        <w:rPr>
          <w:rFonts w:hint="eastAsia" w:ascii="Times New Roman" w:hAnsi="Times New Roman" w:cs="Times New Roman"/>
          <w:b w:val="0"/>
          <w:bCs w:val="0"/>
          <w:sz w:val="22"/>
          <w:szCs w:val="44"/>
          <w:lang w:val="en-US" w:eastAsia="zh-CN"/>
        </w:rPr>
        <w:t>Consider complexity and gains when discussing solutions;</w:t>
      </w:r>
    </w:p>
    <w:p w14:paraId="3DA71A96">
      <w:pPr>
        <w:numPr>
          <w:ilvl w:val="0"/>
          <w:numId w:val="6"/>
        </w:numPr>
        <w:ind w:left="420" w:leftChars="0" w:hanging="420" w:firstLineChars="0"/>
        <w:rPr>
          <w:rFonts w:hint="eastAsia" w:ascii="Times New Roman" w:hAnsi="Times New Roman" w:cs="Times New Roman"/>
          <w:b w:val="0"/>
          <w:bCs w:val="0"/>
          <w:sz w:val="22"/>
          <w:szCs w:val="44"/>
          <w:lang w:val="en-US" w:eastAsia="zh-CN"/>
        </w:rPr>
      </w:pPr>
      <w:r>
        <w:rPr>
          <w:rFonts w:hint="eastAsia" w:ascii="Times New Roman" w:hAnsi="Times New Roman" w:cs="Times New Roman"/>
          <w:b w:val="0"/>
          <w:bCs w:val="0"/>
          <w:sz w:val="22"/>
          <w:szCs w:val="44"/>
          <w:lang w:val="en-US" w:eastAsia="zh-CN"/>
        </w:rPr>
        <w:t>Robustness of mobility procedures;</w:t>
      </w:r>
    </w:p>
    <w:p w14:paraId="799E6107">
      <w:pPr>
        <w:numPr>
          <w:ilvl w:val="0"/>
          <w:numId w:val="6"/>
        </w:numPr>
        <w:ind w:left="420" w:leftChars="0" w:hanging="420" w:firstLineChars="0"/>
        <w:rPr>
          <w:rFonts w:hint="eastAsia" w:ascii="Times New Roman" w:hAnsi="Times New Roman" w:cs="Times New Roman"/>
          <w:b w:val="0"/>
          <w:bCs w:val="0"/>
          <w:sz w:val="22"/>
          <w:szCs w:val="44"/>
          <w:lang w:val="en-US" w:eastAsia="zh-CN"/>
        </w:rPr>
      </w:pPr>
      <w:r>
        <w:rPr>
          <w:rFonts w:hint="eastAsia" w:ascii="Times New Roman" w:hAnsi="Times New Roman" w:cs="Times New Roman"/>
          <w:b w:val="0"/>
          <w:bCs w:val="0"/>
          <w:sz w:val="22"/>
          <w:szCs w:val="44"/>
          <w:lang w:val="en-US" w:eastAsia="zh-CN"/>
        </w:rPr>
        <w:t>Energy efficiency for both UE and NW;</w:t>
      </w:r>
    </w:p>
    <w:p w14:paraId="022E6BA9">
      <w:pPr>
        <w:numPr>
          <w:ilvl w:val="0"/>
          <w:numId w:val="6"/>
        </w:numPr>
        <w:ind w:left="420" w:leftChars="0" w:hanging="420" w:firstLineChars="0"/>
        <w:rPr>
          <w:rFonts w:hint="eastAsia" w:ascii="Times New Roman" w:hAnsi="Times New Roman" w:cs="Times New Roman"/>
          <w:b w:val="0"/>
          <w:bCs w:val="0"/>
          <w:sz w:val="22"/>
          <w:szCs w:val="44"/>
          <w:lang w:val="en-US" w:eastAsia="zh-CN"/>
        </w:rPr>
      </w:pPr>
      <w:r>
        <w:rPr>
          <w:rFonts w:hint="eastAsia" w:ascii="Times New Roman" w:hAnsi="Times New Roman" w:cs="Times New Roman"/>
          <w:b w:val="0"/>
          <w:bCs w:val="0"/>
          <w:sz w:val="22"/>
          <w:szCs w:val="44"/>
          <w:lang w:val="en-US" w:eastAsia="zh-CN"/>
        </w:rPr>
        <w:t>Study aspects related to mobility (e.g. early DL/UL synchronization, UE configuration processing, pre-configurations, conditional handover, early CSI acquisition);</w:t>
      </w:r>
    </w:p>
    <w:p w14:paraId="01831C32">
      <w:pPr>
        <w:rPr>
          <w:rFonts w:hint="default" w:ascii="Times New Roman" w:hAnsi="Times New Roman" w:cs="Times New Roman"/>
          <w:b w:val="0"/>
          <w:bCs w:val="0"/>
          <w:sz w:val="22"/>
          <w:szCs w:val="44"/>
          <w:lang w:val="en-US" w:eastAsia="zh-CN"/>
        </w:rPr>
      </w:pPr>
    </w:p>
    <w:p w14:paraId="4D4D05EB">
      <w:pPr>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Current networks typically select a single mechanism per scenario, as combining them is not straightforward. There is growing consensus in RAN2 that 6G should avoid introducing yet another discrete mobility procedure. Therefore, it is necessary to integrate these existing mechanisms into a unified, flexible mobility framework. A unified framework may reduce mobility complexity: instead of maintaining separate code paths for L3 HO (baseline), CHO, and LTM, network and device vendors could implement one integrated procedure. This simplifies protocol state machines and testing while avoiding inconsistencies.</w:t>
      </w:r>
    </w:p>
    <w:p w14:paraId="1FB55FD8">
      <w:pPr>
        <w:rPr>
          <w:rFonts w:hint="default" w:ascii="Times New Roman Bold" w:hAnsi="Times New Roman Bold" w:cs="Times New Roman Bold"/>
          <w:b/>
          <w:bCs/>
          <w:highlight w:val="none"/>
          <w:u w:val="none"/>
          <w:lang w:val="en-US" w:eastAsia="zh-CN"/>
        </w:rPr>
      </w:pPr>
    </w:p>
    <w:p w14:paraId="6857E824">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Proposal 1: It is suggested to integrate existing mobility mechanisms (e.g., L3 Handover, CHO, LTM, C-LTM) into a unified, flexible mobility framework to reduce mobility complexity.</w:t>
      </w:r>
    </w:p>
    <w:p w14:paraId="02ABC80E">
      <w:pPr>
        <w:rPr>
          <w:rFonts w:hint="default" w:ascii="Times New Roman" w:hAnsi="Times New Roman" w:cs="Times New Roman"/>
          <w:b w:val="0"/>
          <w:bCs w:val="0"/>
          <w:sz w:val="22"/>
          <w:szCs w:val="44"/>
          <w:lang w:val="en-US" w:eastAsia="zh-CN"/>
        </w:rPr>
      </w:pPr>
    </w:p>
    <w:p w14:paraId="4E36CD8A">
      <w:pPr>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To realize such a framework, a solution can be designed to support flexible mobility modes within a single intra-RAT mobility architecture by leveraging legacy 5G mobility features. By configuring the UE with different combinations of mobility features—such as early DL/UL synchronization, conditional execution triggers, early CSI acquisition, and handover pre-configuration—the network can realize multiple mobility modes (e.g., ultra-fast handover, high-reliability handover, and resource-optimized handover) under one cohesive design. In this framework, common building blocks—target pre-configuration, early synchronization, fast (RACH-less) access, and conditional execution—can be modularly applied to achieve desired performance. This simplifies protocol architecture and allows dynamic handover-mode selection suited to real-time conditions and service needs.</w:t>
      </w:r>
    </w:p>
    <w:p w14:paraId="22F6029A">
      <w:pPr>
        <w:rPr>
          <w:rFonts w:hint="default" w:ascii="Times New Roman Bold" w:hAnsi="Times New Roman Bold" w:cs="Times New Roman Bold"/>
          <w:b/>
          <w:bCs/>
          <w:highlight w:val="none"/>
          <w:u w:val="none"/>
          <w:lang w:val="en-US" w:eastAsia="zh-CN"/>
        </w:rPr>
      </w:pPr>
    </w:p>
    <w:p w14:paraId="3899631F">
      <w:pPr>
        <w:widowControl w:val="0"/>
        <w:numPr>
          <w:numId w:val="0"/>
        </w:numPr>
        <w:jc w:val="both"/>
        <w:rPr>
          <w:rFonts w:hint="eastAsia" w:ascii="Times New Roman Bold" w:hAnsi="Times New Roman Bold" w:cs="Times New Roman Bold"/>
          <w:b/>
          <w:bCs/>
          <w:highlight w:val="none"/>
          <w:u w:val="none"/>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2</w:t>
      </w:r>
      <w:r>
        <w:rPr>
          <w:rFonts w:hint="default" w:ascii="Times New Roman Bold" w:hAnsi="Times New Roman Bold" w:cs="Times New Roman Bold"/>
          <w:b/>
          <w:bCs/>
          <w:highlight w:val="none"/>
          <w:u w:val="none"/>
          <w:lang w:val="en-US" w:eastAsia="zh-CN"/>
        </w:rPr>
        <w:t xml:space="preserve">: </w:t>
      </w:r>
      <w:r>
        <w:rPr>
          <w:rFonts w:hint="eastAsia" w:ascii="Times New Roman Bold" w:hAnsi="Times New Roman Bold" w:cs="Times New Roman Bold"/>
          <w:b/>
          <w:bCs/>
          <w:highlight w:val="none"/>
          <w:u w:val="none"/>
          <w:lang w:val="en-US" w:eastAsia="zh-CN"/>
        </w:rPr>
        <w:t xml:space="preserve">It can be observed that multiple mobility feature modules can be </w:t>
      </w:r>
      <w:r>
        <w:rPr>
          <w:rFonts w:hint="default" w:ascii="Times New Roman Bold" w:hAnsi="Times New Roman Bold" w:cs="Times New Roman Bold"/>
          <w:b/>
          <w:bCs/>
          <w:highlight w:val="none"/>
          <w:u w:val="none"/>
          <w:lang w:val="en-US" w:eastAsia="zh-CN"/>
        </w:rPr>
        <w:t>derived from</w:t>
      </w:r>
      <w:r>
        <w:rPr>
          <w:rFonts w:hint="eastAsia" w:ascii="Times New Roman Bold" w:hAnsi="Times New Roman Bold" w:cs="Times New Roman Bold"/>
          <w:b/>
          <w:bCs/>
          <w:highlight w:val="none"/>
          <w:u w:val="none"/>
          <w:lang w:val="en-US" w:eastAsia="zh-CN"/>
        </w:rPr>
        <w:t xml:space="preserve"> from legacy 5G mobility features, and by further combining these modules, flexible mobility solutions can be supported.</w:t>
      </w:r>
    </w:p>
    <w:p w14:paraId="165D69C9">
      <w:pPr>
        <w:widowControl w:val="0"/>
        <w:numPr>
          <w:numId w:val="0"/>
        </w:numPr>
        <w:jc w:val="both"/>
        <w:rPr>
          <w:rFonts w:hint="eastAsia" w:ascii="Times New Roman Bold" w:hAnsi="Times New Roman Bold" w:cs="Times New Roman Bold"/>
          <w:b/>
          <w:bCs/>
          <w:highlight w:val="none"/>
          <w:u w:val="none"/>
          <w:lang w:val="en-US" w:eastAsia="zh-CN"/>
        </w:rPr>
      </w:pPr>
    </w:p>
    <w:p w14:paraId="5BC94678">
      <w:pPr>
        <w:widowControl w:val="0"/>
        <w:numPr>
          <w:numId w:val="0"/>
        </w:numPr>
        <w:jc w:val="both"/>
        <w:rPr>
          <w:rFonts w:hint="default" w:ascii="Times New Roman Bold" w:hAnsi="Times New Roman Bold" w:cs="Times New Roman Bold"/>
          <w:b/>
          <w:bCs/>
          <w:highlight w:val="none"/>
          <w:u w:val="none"/>
          <w:lang w:val="en-US" w:eastAsia="zh-CN"/>
        </w:rPr>
      </w:pPr>
    </w:p>
    <w:p w14:paraId="56B21873">
      <w:pPr>
        <w:rPr>
          <w:rFonts w:hint="default" w:ascii="Times New Roman Bold" w:hAnsi="Times New Roman Bold" w:cs="Times New Roman Bold"/>
          <w:b/>
          <w:bCs/>
          <w:highlight w:val="none"/>
          <w:u w:val="none"/>
          <w:lang w:val="en-US" w:eastAsia="zh-CN"/>
        </w:rPr>
      </w:pPr>
      <w:r>
        <w:rPr>
          <w:rFonts w:hint="eastAsia" w:ascii="Times New Roman Bold" w:hAnsi="Times New Roman Bold" w:cs="Times New Roman Bold"/>
          <w:b/>
          <w:bCs/>
          <w:highlight w:val="none"/>
          <w:u w:val="none"/>
          <w:lang w:val="en-US" w:eastAsia="zh-CN"/>
        </w:rPr>
        <w:t>&lt;</w:t>
      </w:r>
      <w:r>
        <w:rPr>
          <w:rFonts w:hint="default" w:ascii="Times New Roman Bold" w:hAnsi="Times New Roman Bold" w:cs="Times New Roman Bold"/>
          <w:b/>
          <w:bCs/>
          <w:highlight w:val="none"/>
          <w:u w:val="none"/>
          <w:lang w:val="en-US" w:eastAsia="zh-CN"/>
        </w:rPr>
        <w:t>Description of mobility modes</w:t>
      </w:r>
      <w:r>
        <w:rPr>
          <w:rFonts w:hint="eastAsia" w:ascii="Times New Roman Bold" w:hAnsi="Times New Roman Bold" w:cs="Times New Roman Bold"/>
          <w:b/>
          <w:bCs/>
          <w:highlight w:val="none"/>
          <w:u w:val="none"/>
          <w:lang w:val="en-US" w:eastAsia="zh-CN"/>
        </w:rPr>
        <w:t>&gt;</w:t>
      </w:r>
    </w:p>
    <w:p w14:paraId="6DAE46D1">
      <w:pPr>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For the unified intra-RAT mobility framework developed from legacy 5G mobility features, the mobility modes include:</w:t>
      </w:r>
    </w:p>
    <w:p w14:paraId="56783556">
      <w:pPr>
        <w:rPr>
          <w:rFonts w:hint="default" w:ascii="Times New Roman" w:hAnsi="Times New Roman" w:cs="Times New Roman"/>
          <w:b w:val="0"/>
          <w:bCs w:val="0"/>
          <w:highlight w:val="none"/>
          <w:u w:val="none"/>
          <w:lang w:val="en-US" w:eastAsia="zh-CN"/>
        </w:rPr>
      </w:pPr>
    </w:p>
    <w:p w14:paraId="08F3BD64">
      <w:pPr>
        <w:numPr>
          <w:ilvl w:val="0"/>
          <w:numId w:val="7"/>
        </w:numPr>
        <w:ind w:left="420" w:leftChars="0" w:hanging="420" w:firstLineChars="0"/>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Handover Pre-Configuration: The source gNB can send an RRC configuration for one or more target cells to the UE before handover execution. This configuration contains all necessary information (e.g., target cell ID, security info, dedicated RACH resources, or a pre-allocated C-RNTI). With the target’s context pre-loaded, the UE does not require a full RRC handshake during execution.</w:t>
      </w:r>
    </w:p>
    <w:p w14:paraId="0B6BB26A">
      <w:pPr>
        <w:rPr>
          <w:rFonts w:hint="default" w:ascii="Times New Roman" w:hAnsi="Times New Roman" w:cs="Times New Roman"/>
          <w:b w:val="0"/>
          <w:bCs w:val="0"/>
          <w:highlight w:val="none"/>
          <w:u w:val="none"/>
          <w:lang w:val="en-US" w:eastAsia="zh-CN"/>
        </w:rPr>
      </w:pPr>
    </w:p>
    <w:p w14:paraId="4DA25D4B">
      <w:pPr>
        <w:numPr>
          <w:ilvl w:val="0"/>
          <w:numId w:val="7"/>
        </w:numPr>
        <w:ind w:left="420" w:leftChars="0" w:hanging="420" w:firstLineChars="0"/>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 xml:space="preserve">Early Downlink/Uplink Synchronization: Introduces signaling to achieve time synchronization with target cells before execution. For instance, </w:t>
      </w:r>
      <w:r>
        <w:rPr>
          <w:rFonts w:hint="default" w:ascii="Times New Roman" w:hAnsi="Times New Roman" w:cs="Times New Roman"/>
          <w:b w:val="0"/>
          <w:bCs w:val="0"/>
          <w:sz w:val="22"/>
          <w:szCs w:val="44"/>
          <w:lang w:val="en-US" w:eastAsia="zh-CN"/>
        </w:rPr>
        <w:t>For example, a MAC Control Element can be used to command the UE to perform early DL measurements (acquire reference signals from target and adjust timing/beam) and send early UL reference (such as a PRACH) to the target cell. This yields a Timing Advance and initial link quality estimate while still connected to the source. The UE and target can thus establish synchronization (both downlink timing and uplink TA) prior to handover</w:t>
      </w:r>
      <w:r>
        <w:rPr>
          <w:rFonts w:hint="default" w:ascii="Times New Roman" w:hAnsi="Times New Roman" w:cs="Times New Roman"/>
          <w:b w:val="0"/>
          <w:bCs w:val="0"/>
          <w:highlight w:val="none"/>
          <w:u w:val="none"/>
          <w:lang w:val="en-US" w:eastAsia="zh-CN"/>
        </w:rPr>
        <w:t>. Thus, when the handover is triggered, the UE can skip the random-access procedure and immediately start data transmission on the target.</w:t>
      </w:r>
    </w:p>
    <w:p w14:paraId="765346B8">
      <w:pPr>
        <w:rPr>
          <w:rFonts w:hint="default" w:ascii="Times New Roman" w:hAnsi="Times New Roman" w:cs="Times New Roman"/>
          <w:b w:val="0"/>
          <w:bCs w:val="0"/>
          <w:highlight w:val="none"/>
          <w:u w:val="none"/>
          <w:lang w:val="en-US" w:eastAsia="zh-CN"/>
        </w:rPr>
      </w:pPr>
    </w:p>
    <w:p w14:paraId="6ECEC55D">
      <w:pPr>
        <w:numPr>
          <w:ilvl w:val="0"/>
          <w:numId w:val="7"/>
        </w:numPr>
        <w:ind w:left="420" w:leftChars="0" w:hanging="420" w:firstLineChars="0"/>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Conditional and Immediate Execution Triggers:</w:t>
      </w:r>
    </w:p>
    <w:p w14:paraId="1BE36E94">
      <w:pPr>
        <w:rPr>
          <w:rFonts w:hint="default" w:ascii="Times New Roman" w:hAnsi="Times New Roman" w:cs="Times New Roman"/>
          <w:b w:val="0"/>
          <w:bCs w:val="0"/>
          <w:highlight w:val="none"/>
          <w:u w:val="none"/>
          <w:lang w:val="en-US" w:eastAsia="zh-CN"/>
        </w:rPr>
      </w:pPr>
    </w:p>
    <w:p w14:paraId="41B303B4">
      <w:pPr>
        <w:numPr>
          <w:ilvl w:val="0"/>
          <w:numId w:val="8"/>
        </w:numPr>
        <w:ind w:left="840" w:leftChars="0" w:hanging="420" w:firstLineChars="0"/>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Immediate Trigger: The network may command an immediate handover (e.g., urgent or load-balancing scenarios) via RRC or MAC signaling.</w:t>
      </w:r>
    </w:p>
    <w:p w14:paraId="222D9D8B">
      <w:pPr>
        <w:numPr>
          <w:ilvl w:val="0"/>
          <w:numId w:val="8"/>
        </w:numPr>
        <w:ind w:left="840" w:leftChars="0" w:hanging="420" w:firstLineChars="0"/>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Conditional Trigger: The network may configure conditions (similar to CHO triggers, e.g., “target RSRP &gt; X for Y ms and source RSRP &lt; Z”) for prepared targets. The UE evaluates these using unified measurements and autonomously executes the handover when conditions are met.</w:t>
      </w:r>
    </w:p>
    <w:p w14:paraId="0DD71AD6">
      <w:pPr>
        <w:rPr>
          <w:rFonts w:hint="default" w:ascii="Times New Roman" w:hAnsi="Times New Roman" w:cs="Times New Roman"/>
          <w:b w:val="0"/>
          <w:bCs w:val="0"/>
          <w:highlight w:val="none"/>
          <w:u w:val="none"/>
          <w:lang w:val="en-US" w:eastAsia="zh-CN"/>
        </w:rPr>
      </w:pPr>
    </w:p>
    <w:p w14:paraId="18FD812B">
      <w:pPr>
        <w:numPr>
          <w:ilvl w:val="0"/>
          <w:numId w:val="7"/>
        </w:numPr>
        <w:ind w:left="420" w:leftChars="0" w:hanging="420" w:firstLineChars="0"/>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Multiple Candidate Management: To enhance robustness, multiple target configurations may remain active concurrently. The UE can maintain synchronization with several top candidates. If the primary target fails, a backup can be attempted immediately without returning to the source.</w:t>
      </w:r>
    </w:p>
    <w:p w14:paraId="44796333">
      <w:pPr>
        <w:rPr>
          <w:rFonts w:hint="default" w:ascii="Times New Roman" w:hAnsi="Times New Roman" w:cs="Times New Roman"/>
          <w:b w:val="0"/>
          <w:bCs w:val="0"/>
          <w:highlight w:val="none"/>
          <w:u w:val="none"/>
          <w:lang w:val="en-US" w:eastAsia="zh-CN"/>
        </w:rPr>
      </w:pPr>
    </w:p>
    <w:p w14:paraId="29B13439">
      <w:pPr>
        <w:numPr>
          <w:ilvl w:val="0"/>
          <w:numId w:val="7"/>
        </w:numPr>
        <w:ind w:left="420" w:leftChars="0" w:hanging="420" w:firstLineChars="0"/>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Early CSI Acquisition: The network may request the UE to report CSI for target cells before handover, by measuring target CSI-RS and feeding back CSI via the source. Having CSI in advance enables optimal scheduling from the first transmission at the target, minimizing initial throughput drop.</w:t>
      </w:r>
    </w:p>
    <w:p w14:paraId="6FDB916D">
      <w:pPr>
        <w:rPr>
          <w:rFonts w:hint="default" w:ascii="Times New Roman" w:hAnsi="Times New Roman" w:cs="Times New Roman"/>
          <w:b w:val="0"/>
          <w:bCs w:val="0"/>
          <w:highlight w:val="none"/>
          <w:u w:val="none"/>
          <w:lang w:val="en-US" w:eastAsia="zh-CN"/>
        </w:rPr>
      </w:pPr>
    </w:p>
    <w:p w14:paraId="66EB0ADF">
      <w:pPr>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To realize this unified framework, all the above features should be encapsulated in a cohesive and modular signaling design. RRC messages such as RRCReconfiguration or a new MobilityControl message may carry a Mobility Mode Configuration that includes these mobility features</w:t>
      </w:r>
      <w:r>
        <w:rPr>
          <w:rFonts w:hint="eastAsia" w:ascii="Times New Roman" w:hAnsi="Times New Roman" w:cs="Times New Roman"/>
          <w:b w:val="0"/>
          <w:bCs w:val="0"/>
          <w:highlight w:val="none"/>
          <w:u w:val="none"/>
          <w:lang w:val="en-US" w:eastAsia="zh-CN"/>
        </w:rPr>
        <w:t xml:space="preserve"> and be sent to UE during handover preparation phase</w:t>
      </w:r>
      <w:r>
        <w:rPr>
          <w:rFonts w:hint="default" w:ascii="Times New Roman" w:hAnsi="Times New Roman" w:cs="Times New Roman"/>
          <w:b w:val="0"/>
          <w:bCs w:val="0"/>
          <w:highlight w:val="none"/>
          <w:u w:val="none"/>
          <w:lang w:val="en-US" w:eastAsia="zh-CN"/>
        </w:rPr>
        <w:t>. For a simple handover, only one target (without early sync) and immediate execution might be configured; for advanced modes, multiple targets with synchronization and conditional triggers could be included.</w:t>
      </w:r>
    </w:p>
    <w:p w14:paraId="7F60FAC3">
      <w:pPr>
        <w:rPr>
          <w:rFonts w:hint="default" w:ascii="Times New Roman Bold" w:hAnsi="Times New Roman Bold" w:cs="Times New Roman Bold"/>
          <w:b/>
          <w:bCs/>
          <w:highlight w:val="none"/>
          <w:u w:val="none"/>
          <w:lang w:val="en-US" w:eastAsia="zh-CN"/>
        </w:rPr>
      </w:pPr>
    </w:p>
    <w:p w14:paraId="43B0496D">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Proposal 2 : To support flexible mobility modes within a single intra-RAT mobility framework, it is suggested to introduce multiple mobility modes derived from legacy 5G mobility features, including Handover Pre-Configuration, Early DL/UL Synchronization, Conditional and Immediate Execution Triggers, Multiple Candidate Management, and Early CSI Acquisition. These modules can be flexibly combined and configured to meet various mobility scenarios.</w:t>
      </w:r>
    </w:p>
    <w:p w14:paraId="4C6F1ABD">
      <w:pPr>
        <w:widowControl w:val="0"/>
        <w:numPr>
          <w:numId w:val="0"/>
        </w:numPr>
        <w:jc w:val="both"/>
        <w:rPr>
          <w:rFonts w:hint="default" w:ascii="Times New Roman" w:hAnsi="Times New Roman" w:cs="Times New Roman"/>
          <w:b w:val="0"/>
          <w:bCs w:val="0"/>
          <w:sz w:val="22"/>
          <w:szCs w:val="44"/>
          <w:lang w:val="en-US" w:eastAsia="zh-CN"/>
        </w:rPr>
      </w:pPr>
    </w:p>
    <w:p w14:paraId="00910FD2">
      <w:pPr>
        <w:pStyle w:val="3"/>
        <w:numPr>
          <w:ilvl w:val="1"/>
          <w:numId w:val="5"/>
        </w:numPr>
        <w:bidi w:val="0"/>
        <w:ind w:left="830" w:leftChars="0" w:hanging="405" w:firstLineChars="0"/>
        <w:rPr>
          <w:rFonts w:hint="default" w:ascii="Times New Roman Bold" w:hAnsi="Times New Roman Bold" w:cs="Times New Roman Bold"/>
          <w:b/>
          <w:bCs/>
          <w:sz w:val="22"/>
          <w:szCs w:val="44"/>
          <w:lang w:val="en-US" w:eastAsia="zh-CN"/>
        </w:rPr>
      </w:pPr>
      <w:r>
        <w:rPr>
          <w:rFonts w:hint="default" w:ascii="Times New Roman Bold" w:hAnsi="Times New Roman Bold" w:cs="Times New Roman Bold"/>
          <w:b/>
          <w:bCs/>
          <w:sz w:val="22"/>
          <w:szCs w:val="44"/>
          <w:lang w:val="en-US" w:eastAsia="zh-CN"/>
        </w:rPr>
        <w:t xml:space="preserve"> Discussion on on-demand mobility principle for 6GR</w:t>
      </w:r>
    </w:p>
    <w:p w14:paraId="1358895E">
      <w:pPr>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 xml:space="preserve">In addition, nearly every UE in RRC Connected mode generally follows uniform mobility procedures, including continuous measurements, periodic reporting, and cell reselection/handovers (HOs) when predefined thresholds are met in 5G. However, for 6G’s wide range of device types (from stationary IoT sensors to high-speed vehicles), this rigid framework needs to become more dynamic and optional. For instance, a stationary IoT sensor could operate in a “fixed” mode where handover measurements are completely omitted—this not only saves the device’s battery but also reduces unnecessary signaling—unless the device’s context (e.g., unexpected position shifts) or the required service indicates movement. Conversely, a high-speed vehicle (e.g., a bullet train or autonomous car) could temporarily activate an “enhanced mobility mode,” which involves more aggressive signal measurements and the establishment of multiple simultaneous connections to ensure seamless service continuity. </w:t>
      </w:r>
    </w:p>
    <w:p w14:paraId="49DC68C4">
      <w:pPr>
        <w:rPr>
          <w:rFonts w:hint="default" w:ascii="Times New Roman" w:hAnsi="Times New Roman" w:cs="Times New Roman"/>
          <w:b w:val="0"/>
          <w:bCs w:val="0"/>
          <w:highlight w:val="none"/>
          <w:u w:val="none"/>
          <w:lang w:val="en-US" w:eastAsia="zh-CN"/>
        </w:rPr>
      </w:pPr>
    </w:p>
    <w:p w14:paraId="08ACF505">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 xml:space="preserve">Observation </w:t>
      </w:r>
      <w:r>
        <w:rPr>
          <w:rFonts w:hint="eastAsia" w:ascii="Times New Roman Bold" w:hAnsi="Times New Roman Bold" w:cs="Times New Roman Bold"/>
          <w:b/>
          <w:bCs/>
          <w:highlight w:val="none"/>
          <w:u w:val="none"/>
          <w:lang w:val="en-US" w:eastAsia="zh-CN"/>
        </w:rPr>
        <w:t>3</w:t>
      </w:r>
      <w:r>
        <w:rPr>
          <w:rFonts w:hint="default" w:ascii="Times New Roman Bold" w:hAnsi="Times New Roman Bold" w:cs="Times New Roman Bold"/>
          <w:b/>
          <w:bCs/>
          <w:highlight w:val="none"/>
          <w:u w:val="none"/>
          <w:lang w:val="en-US" w:eastAsia="zh-CN"/>
        </w:rPr>
        <w:t>: In 5G networks, nearly all UE</w:t>
      </w:r>
      <w:r>
        <w:rPr>
          <w:rFonts w:hint="eastAsia" w:ascii="Times New Roman Bold" w:hAnsi="Times New Roman Bold" w:cs="Times New Roman Bold"/>
          <w:b/>
          <w:bCs/>
          <w:highlight w:val="none"/>
          <w:u w:val="none"/>
          <w:lang w:val="en-US" w:eastAsia="zh-CN"/>
        </w:rPr>
        <w:t>s</w:t>
      </w:r>
      <w:r>
        <w:rPr>
          <w:rFonts w:hint="default" w:ascii="Times New Roman Bold" w:hAnsi="Times New Roman Bold" w:cs="Times New Roman Bold"/>
          <w:b/>
          <w:bCs/>
          <w:highlight w:val="none"/>
          <w:u w:val="none"/>
          <w:lang w:val="en-US" w:eastAsia="zh-CN"/>
        </w:rPr>
        <w:t xml:space="preserve"> operating in Radio Resource Control (RRC) Connected mode typically adhere to a set of uniform mobility procedures. However, 6G will encompass an extremely diverse range of device types—spanning stationary IoT sensors, low-mobility wearable devices, and high-speed vehicular terminals, among others. Given this diversity, different device categories will inevitably have distinct mobility requirements (e.g., latency tolerance, handover frequency) and tailored mobility management policies.</w:t>
      </w:r>
    </w:p>
    <w:p w14:paraId="76D7A97B">
      <w:pPr>
        <w:rPr>
          <w:rFonts w:hint="default" w:ascii="Times New Roman Bold" w:hAnsi="Times New Roman Bold" w:cs="Times New Roman Bold"/>
          <w:b/>
          <w:bCs/>
          <w:highlight w:val="none"/>
          <w:u w:val="none"/>
          <w:lang w:val="en-US" w:eastAsia="zh-CN"/>
        </w:rPr>
      </w:pPr>
    </w:p>
    <w:p w14:paraId="2A459810">
      <w:pPr>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 xml:space="preserve">Thus, 6G mobility may need to consider the principle of on-demand design. This approach introduces mobility management that is triggered and used only when necessary, rather than adopting a one-size-fits-all, always-on mode. Specifically speaking, we propose that mobility be designed as an on-demand service in 6G: UEs or their associated applications can proactively request mobility support when required, and the Radio Access Network (RAN) can then invoke corresponding procedures (such as pre-preparing handover resources or real-time UE tracking) tailored to the specific need. Overall, on-demand mobility will minimize signaling overhead and processing burdens for immobile or low-mobility devices (a key requirement for supporting massive device densities in 6G), while still enabling comprehensive mobility capabilities for terminals that demand high-performance mobility, fully catering to the diverse mobility needs of 6G’s varied terminal ecosystem. </w:t>
      </w:r>
    </w:p>
    <w:p w14:paraId="3DF02AB5">
      <w:pPr>
        <w:rPr>
          <w:rFonts w:hint="default" w:ascii="Times New Roman" w:hAnsi="Times New Roman" w:cs="Times New Roman"/>
          <w:b w:val="0"/>
          <w:bCs w:val="0"/>
          <w:highlight w:val="none"/>
          <w:u w:val="none"/>
          <w:lang w:val="en-US" w:eastAsia="zh-CN"/>
        </w:rPr>
      </w:pPr>
    </w:p>
    <w:p w14:paraId="062396B1">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Proposal 3: Aiming at 6G’s diverse devices that have distinct mobility needs, it is proposed to adopt an on-demand mobility principle: mobility management is triggered and used only when necessary, instead of following 5G’s practice of applying a one-size-fits-all, always-on approach to all UEs.</w:t>
      </w:r>
    </w:p>
    <w:p w14:paraId="26DD0870">
      <w:pPr>
        <w:pStyle w:val="2"/>
        <w:keepLines/>
        <w:numPr>
          <w:ilvl w:val="0"/>
          <w:numId w:val="5"/>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58F74E68">
      <w:pPr>
        <w:numPr>
          <w:ilvl w:val="-1"/>
          <w:numId w:val="0"/>
        </w:numPr>
        <w:ind w:left="0" w:leftChars="0"/>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6GR intra-RAT </w:t>
      </w:r>
      <w:r>
        <w:rPr>
          <w:rFonts w:hint="default" w:ascii="Times New Roman" w:hAnsi="Times New Roman" w:cs="Times New Roman"/>
          <w:szCs w:val="21"/>
          <w:lang w:val="en-US" w:eastAsia="zh-CN"/>
        </w:rPr>
        <w:t>c</w:t>
      </w:r>
      <w:r>
        <w:rPr>
          <w:rFonts w:hint="eastAsia" w:ascii="Times New Roman" w:hAnsi="Times New Roman" w:cs="Times New Roman"/>
          <w:szCs w:val="21"/>
          <w:lang w:val="en-US" w:eastAsia="zh-CN"/>
        </w:rPr>
        <w:t>onnected</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 xml:space="preserve">mobility as </w:t>
      </w:r>
      <w:r>
        <w:rPr>
          <w:rFonts w:hint="default" w:ascii="Times New Roman" w:hAnsi="Times New Roman" w:cs="Times New Roman"/>
          <w:szCs w:val="21"/>
          <w:lang w:val="en-US" w:eastAsia="zh-CN"/>
        </w:rPr>
        <w:t>follows:</w:t>
      </w:r>
    </w:p>
    <w:p w14:paraId="6FB38647">
      <w:pPr>
        <w:numPr>
          <w:ilvl w:val="-1"/>
          <w:numId w:val="0"/>
        </w:numPr>
        <w:ind w:left="0" w:leftChars="0"/>
        <w:jc w:val="both"/>
        <w:rPr>
          <w:rFonts w:hint="default" w:ascii="Times New Roman" w:hAnsi="Times New Roman" w:cs="Times New Roman"/>
          <w:szCs w:val="21"/>
          <w:lang w:val="en-US" w:eastAsia="zh-CN"/>
        </w:rPr>
      </w:pPr>
    </w:p>
    <w:p w14:paraId="11E19249">
      <w:pPr>
        <w:rPr>
          <w:rFonts w:hint="eastAsia" w:ascii="Times New Roman" w:hAnsi="Times New Roman" w:cs="Times New Roman"/>
          <w:b/>
          <w:bCs/>
          <w:sz w:val="22"/>
          <w:szCs w:val="44"/>
          <w:lang w:val="en-US" w:eastAsia="zh-CN"/>
        </w:rPr>
      </w:pPr>
      <w:r>
        <w:rPr>
          <w:rFonts w:hint="default" w:ascii="Times New Roman Bold" w:hAnsi="Times New Roman Bold" w:cs="Times New Roman Bold"/>
          <w:b/>
          <w:bCs/>
          <w:lang w:val="en-US" w:eastAsia="zh-CN"/>
        </w:rPr>
        <w:t>Observation 1</w:t>
      </w:r>
      <w:r>
        <w:rPr>
          <w:rFonts w:hint="eastAsia" w:ascii="Times New Roman Bold" w:hAnsi="Times New Roman Bold" w:cs="Times New Roman Bold"/>
          <w:b/>
          <w:bCs/>
          <w:lang w:val="en-US" w:eastAsia="zh-CN"/>
        </w:rPr>
        <w:t>：</w:t>
      </w:r>
      <w:r>
        <w:rPr>
          <w:rFonts w:hint="eastAsia" w:ascii="Times New Roman" w:hAnsi="Times New Roman"/>
          <w:b/>
          <w:bCs/>
          <w:lang w:val="en-US" w:eastAsia="zh-CN"/>
        </w:rPr>
        <w:t xml:space="preserve">In the existing 5G systerm, </w:t>
      </w:r>
      <w:r>
        <w:rPr>
          <w:rFonts w:hint="default" w:ascii="Times New Roman" w:hAnsi="Times New Roman" w:cs="Times New Roman"/>
          <w:b/>
          <w:bCs/>
          <w:sz w:val="22"/>
          <w:szCs w:val="44"/>
          <w:lang w:val="en-US" w:eastAsia="zh-CN"/>
        </w:rPr>
        <w:t xml:space="preserve">3GPP </w:t>
      </w:r>
      <w:r>
        <w:rPr>
          <w:rFonts w:hint="eastAsia" w:ascii="Times New Roman" w:hAnsi="Times New Roman" w:cs="Times New Roman"/>
          <w:b/>
          <w:bCs/>
          <w:sz w:val="22"/>
          <w:szCs w:val="44"/>
          <w:lang w:val="en-US" w:eastAsia="zh-CN"/>
        </w:rPr>
        <w:t xml:space="preserve">has </w:t>
      </w:r>
      <w:r>
        <w:rPr>
          <w:rFonts w:hint="default" w:ascii="Times New Roman" w:hAnsi="Times New Roman" w:cs="Times New Roman"/>
          <w:b/>
          <w:bCs/>
          <w:sz w:val="22"/>
          <w:szCs w:val="44"/>
          <w:lang w:val="en-US" w:eastAsia="zh-CN"/>
        </w:rPr>
        <w:t>introduced various techniques to improve handover performance</w:t>
      </w:r>
      <w:r>
        <w:rPr>
          <w:rFonts w:hint="eastAsia" w:ascii="Times New Roman" w:hAnsi="Times New Roman" w:cs="Times New Roman"/>
          <w:b/>
          <w:bCs/>
          <w:sz w:val="22"/>
          <w:szCs w:val="44"/>
          <w:lang w:val="en-US" w:eastAsia="zh-CN"/>
        </w:rPr>
        <w:t xml:space="preserve">, such as </w:t>
      </w:r>
      <w:r>
        <w:rPr>
          <w:rFonts w:hint="default" w:ascii="Times New Roman" w:hAnsi="Times New Roman" w:cs="Times New Roman"/>
          <w:b/>
          <w:bCs/>
          <w:sz w:val="22"/>
          <w:szCs w:val="44"/>
          <w:lang w:val="en-US" w:eastAsia="zh-CN"/>
        </w:rPr>
        <w:t>L3 Handover</w:t>
      </w:r>
      <w:r>
        <w:rPr>
          <w:rFonts w:hint="eastAsia" w:ascii="Times New Roman" w:hAnsi="Times New Roman" w:cs="Times New Roman"/>
          <w:b/>
          <w:bCs/>
          <w:sz w:val="22"/>
          <w:szCs w:val="44"/>
          <w:lang w:val="en-US" w:eastAsia="zh-CN"/>
        </w:rPr>
        <w:t xml:space="preserve">, CHO, LTM, C-LTM. However, </w:t>
      </w:r>
      <w:r>
        <w:rPr>
          <w:rFonts w:hint="default" w:ascii="Times New Roman" w:hAnsi="Times New Roman" w:cs="Times New Roman"/>
          <w:b/>
          <w:bCs/>
          <w:sz w:val="22"/>
          <w:szCs w:val="44"/>
          <w:lang w:val="en-US" w:eastAsia="zh-CN"/>
        </w:rPr>
        <w:t>Each of the above mechanisms addresses specific aspects (latency, reliability) but their parallel existence has led to a fragmented approach in mobility management</w:t>
      </w:r>
      <w:r>
        <w:rPr>
          <w:rFonts w:hint="eastAsia" w:ascii="Times New Roman" w:hAnsi="Times New Roman" w:cs="Times New Roman"/>
          <w:b/>
          <w:bCs/>
          <w:sz w:val="22"/>
          <w:szCs w:val="44"/>
          <w:lang w:val="en-US" w:eastAsia="zh-CN"/>
        </w:rPr>
        <w:t>.</w:t>
      </w:r>
    </w:p>
    <w:p w14:paraId="7BFF56C8">
      <w:pPr>
        <w:rPr>
          <w:rFonts w:hint="eastAsia" w:ascii="Times New Roman" w:hAnsi="Times New Roman" w:cs="Times New Roman"/>
          <w:b/>
          <w:bCs/>
          <w:sz w:val="22"/>
          <w:szCs w:val="44"/>
          <w:lang w:val="en-US" w:eastAsia="zh-CN"/>
        </w:rPr>
      </w:pPr>
    </w:p>
    <w:p w14:paraId="52E736CC">
      <w:pPr>
        <w:widowControl w:val="0"/>
        <w:numPr>
          <w:ilvl w:val="0"/>
          <w:numId w:val="0"/>
        </w:numPr>
        <w:jc w:val="both"/>
        <w:rPr>
          <w:rFonts w:hint="eastAsia" w:ascii="Times New Roman Bold" w:hAnsi="Times New Roman Bold" w:cs="Times New Roman Bold"/>
          <w:b/>
          <w:bCs/>
          <w:highlight w:val="none"/>
          <w:u w:val="none"/>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2</w:t>
      </w:r>
      <w:r>
        <w:rPr>
          <w:rFonts w:hint="default" w:ascii="Times New Roman Bold" w:hAnsi="Times New Roman Bold" w:cs="Times New Roman Bold"/>
          <w:b/>
          <w:bCs/>
          <w:highlight w:val="none"/>
          <w:u w:val="none"/>
          <w:lang w:val="en-US" w:eastAsia="zh-CN"/>
        </w:rPr>
        <w:t xml:space="preserve">: </w:t>
      </w:r>
      <w:r>
        <w:rPr>
          <w:rFonts w:hint="eastAsia" w:ascii="Times New Roman Bold" w:hAnsi="Times New Roman Bold" w:cs="Times New Roman Bold"/>
          <w:b/>
          <w:bCs/>
          <w:highlight w:val="none"/>
          <w:u w:val="none"/>
          <w:lang w:val="en-US" w:eastAsia="zh-CN"/>
        </w:rPr>
        <w:t xml:space="preserve">It can be observed that multiple mobility feature modules can be </w:t>
      </w:r>
      <w:r>
        <w:rPr>
          <w:rFonts w:hint="default" w:ascii="Times New Roman Bold" w:hAnsi="Times New Roman Bold" w:cs="Times New Roman Bold"/>
          <w:b/>
          <w:bCs/>
          <w:highlight w:val="none"/>
          <w:u w:val="none"/>
          <w:lang w:val="en-US" w:eastAsia="zh-CN"/>
        </w:rPr>
        <w:t>derived from</w:t>
      </w:r>
      <w:r>
        <w:rPr>
          <w:rFonts w:hint="eastAsia" w:ascii="Times New Roman Bold" w:hAnsi="Times New Roman Bold" w:cs="Times New Roman Bold"/>
          <w:b/>
          <w:bCs/>
          <w:highlight w:val="none"/>
          <w:u w:val="none"/>
          <w:lang w:val="en-US" w:eastAsia="zh-CN"/>
        </w:rPr>
        <w:t xml:space="preserve"> from legacy 5G mobility features, and by further combining these modules, flexible mobility solutions can be supported.</w:t>
      </w:r>
    </w:p>
    <w:p w14:paraId="0E8DBACA">
      <w:pPr>
        <w:widowControl w:val="0"/>
        <w:numPr>
          <w:ilvl w:val="0"/>
          <w:numId w:val="0"/>
        </w:numPr>
        <w:jc w:val="both"/>
        <w:rPr>
          <w:rFonts w:hint="eastAsia" w:ascii="Times New Roman Bold" w:hAnsi="Times New Roman Bold" w:cs="Times New Roman Bold"/>
          <w:b/>
          <w:bCs/>
          <w:highlight w:val="none"/>
          <w:u w:val="none"/>
          <w:lang w:val="en-US" w:eastAsia="zh-CN"/>
        </w:rPr>
      </w:pPr>
    </w:p>
    <w:p w14:paraId="40DDD552">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 xml:space="preserve">Observation </w:t>
      </w:r>
      <w:r>
        <w:rPr>
          <w:rFonts w:hint="eastAsia" w:ascii="Times New Roman Bold" w:hAnsi="Times New Roman Bold" w:cs="Times New Roman Bold"/>
          <w:b/>
          <w:bCs/>
          <w:highlight w:val="none"/>
          <w:u w:val="none"/>
          <w:lang w:val="en-US" w:eastAsia="zh-CN"/>
        </w:rPr>
        <w:t>3</w:t>
      </w:r>
      <w:r>
        <w:rPr>
          <w:rFonts w:hint="default" w:ascii="Times New Roman Bold" w:hAnsi="Times New Roman Bold" w:cs="Times New Roman Bold"/>
          <w:b/>
          <w:bCs/>
          <w:highlight w:val="none"/>
          <w:u w:val="none"/>
          <w:lang w:val="en-US" w:eastAsia="zh-CN"/>
        </w:rPr>
        <w:t>: In 5G networks, nearly all UE</w:t>
      </w:r>
      <w:r>
        <w:rPr>
          <w:rFonts w:hint="eastAsia" w:ascii="Times New Roman Bold" w:hAnsi="Times New Roman Bold" w:cs="Times New Roman Bold"/>
          <w:b/>
          <w:bCs/>
          <w:highlight w:val="none"/>
          <w:u w:val="none"/>
          <w:lang w:val="en-US" w:eastAsia="zh-CN"/>
        </w:rPr>
        <w:t>s</w:t>
      </w:r>
      <w:r>
        <w:rPr>
          <w:rFonts w:hint="default" w:ascii="Times New Roman Bold" w:hAnsi="Times New Roman Bold" w:cs="Times New Roman Bold"/>
          <w:b/>
          <w:bCs/>
          <w:highlight w:val="none"/>
          <w:u w:val="none"/>
          <w:lang w:val="en-US" w:eastAsia="zh-CN"/>
        </w:rPr>
        <w:t xml:space="preserve"> operating in Radio Resource Control (RRC) Connected mode typically adhere to a set of uniform mobility procedures. However, 6G will encompass an extremely diverse range of device types—spanning stationary IoT sensors, low-mobility wearable devices, and high-speed vehicular terminals, among others. Given this diversity, different device categories will inevitably have distinct mobility requirements (e.g., latency tolerance, handover frequency) and tailored mobility management policies.</w:t>
      </w:r>
    </w:p>
    <w:p w14:paraId="79A132F8">
      <w:pPr>
        <w:rPr>
          <w:rFonts w:hint="eastAsia" w:ascii="Times New Roman" w:hAnsi="Times New Roman" w:cs="Times New Roman"/>
          <w:b/>
          <w:bCs/>
          <w:sz w:val="22"/>
          <w:szCs w:val="44"/>
          <w:lang w:val="en-US" w:eastAsia="zh-CN"/>
        </w:rPr>
      </w:pPr>
    </w:p>
    <w:p w14:paraId="35B818B5">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Proposal 1: It is suggested to integrate existing mobility mechanisms (e.g., L3 Handover, CHO, LTM, C-LTM) into a unified, flexible mobility framework to reduce mobility complexity.</w:t>
      </w:r>
    </w:p>
    <w:p w14:paraId="4E50CCFC">
      <w:pPr>
        <w:rPr>
          <w:rFonts w:hint="default" w:ascii="Times New Roman Bold" w:hAnsi="Times New Roman Bold" w:cs="Times New Roman Bold"/>
          <w:b/>
          <w:bCs/>
          <w:highlight w:val="none"/>
          <w:u w:val="none"/>
          <w:lang w:val="en-US" w:eastAsia="zh-CN"/>
        </w:rPr>
      </w:pPr>
    </w:p>
    <w:p w14:paraId="32754A4B">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Proposal 2 : To support flexible mobility modes within a single intra-RAT mobility framework, it is suggested to introduce multiple mobility modes derived from legacy 5G mobility features, including Handover Pre-Configuration, Early DL/UL Synchronization, Conditional and Immediate Execution Triggers, Multiple Candidate Management, and Early CSI Acquisition. These modules can be flexibly combined and configured to meet various mobility scenarios.</w:t>
      </w:r>
    </w:p>
    <w:p w14:paraId="0CEBB3AE">
      <w:pPr>
        <w:rPr>
          <w:rFonts w:hint="default" w:ascii="Times New Roman Bold" w:hAnsi="Times New Roman Bold" w:cs="Times New Roman Bold"/>
          <w:b/>
          <w:bCs/>
          <w:highlight w:val="none"/>
          <w:u w:val="none"/>
          <w:lang w:val="en-US" w:eastAsia="zh-CN"/>
        </w:rPr>
      </w:pPr>
    </w:p>
    <w:p w14:paraId="75903653">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Proposal 3: Aiming at 6G’s diverse devices that have distinct mobility needs, it is proposed to adopt an on-demand mobility principle: mobility management is triggered and used only when necessary, instead of following 5G’s practice of applying a one-size-fits-all, always-on approach to all UEs.</w:t>
      </w:r>
    </w:p>
    <w:p w14:paraId="0132E5F8">
      <w:pPr>
        <w:pStyle w:val="2"/>
        <w:keepLines/>
        <w:numPr>
          <w:ilvl w:val="0"/>
          <w:numId w:val="5"/>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bookmarkStart w:id="1" w:name="_Toc54284462"/>
      <w:r>
        <w:rPr>
          <w:rFonts w:ascii="Times New Roman" w:hAnsi="Times New Roman"/>
        </w:rPr>
        <w:t>References</w:t>
      </w:r>
      <w:bookmarkEnd w:id="1"/>
    </w:p>
    <w:p w14:paraId="16683E82">
      <w:pPr>
        <w:widowControl/>
        <w:numPr>
          <w:ilvl w:val="0"/>
          <w:numId w:val="9"/>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eastAsia="zh-CN"/>
        </w:rPr>
        <w:t>RAN</w:t>
      </w:r>
      <w:r>
        <w:rPr>
          <w:rFonts w:hint="eastAsia" w:ascii="Times New Roman" w:hAnsi="Times New Roman"/>
          <w:sz w:val="20"/>
          <w:szCs w:val="20"/>
          <w:lang w:val="en-US" w:eastAsia="zh-CN"/>
        </w:rPr>
        <w:t>2 #131bis</w:t>
      </w:r>
      <w:r>
        <w:rPr>
          <w:rFonts w:hint="default" w:ascii="Times New Roman" w:hAnsi="Times New Roman"/>
          <w:sz w:val="20"/>
          <w:szCs w:val="20"/>
          <w:lang w:eastAsia="zh-CN"/>
        </w:rPr>
        <w:t xml:space="preserve"> Meeting</w:t>
      </w:r>
      <w:r>
        <w:rPr>
          <w:rFonts w:hint="eastAsia" w:ascii="Times New Roman" w:hAnsi="Times New Roman"/>
          <w:sz w:val="20"/>
          <w:szCs w:val="20"/>
          <w:lang w:val="en-US" w:eastAsia="zh-CN"/>
        </w:rPr>
        <w:t xml:space="preserve"> agreements;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Hiragino Sans">
    <w:panose1 w:val="020B0300000000000000"/>
    <w:charset w:val="80"/>
    <w:family w:val="auto"/>
    <w:pitch w:val="default"/>
    <w:sig w:usb0="E00002FF" w:usb1="7AE7FFFF" w:usb2="00000012" w:usb3="00000000" w:csb0="0002000D"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1"/>
    <w:family w:val="auto"/>
    <w:pitch w:val="default"/>
    <w:sig w:usb0="00000203" w:usb1="21D12C10" w:usb2="00000010" w:usb3="00000000" w:csb0="00280005"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D7F7A6"/>
    <w:multiLevelType w:val="singleLevel"/>
    <w:tmpl w:val="B8D7F7A6"/>
    <w:lvl w:ilvl="0" w:tentative="0">
      <w:start w:val="1"/>
      <w:numFmt w:val="bullet"/>
      <w:lvlText w:val=""/>
      <w:lvlJc w:val="left"/>
      <w:pPr>
        <w:tabs>
          <w:tab w:val="left" w:pos="420"/>
        </w:tabs>
        <w:ind w:left="840" w:hanging="420"/>
      </w:pPr>
      <w:rPr>
        <w:rFonts w:hint="default" w:ascii="Wingdings" w:hAnsi="Wingdings"/>
      </w:rPr>
    </w:lvl>
  </w:abstractNum>
  <w:abstractNum w:abstractNumId="1">
    <w:nsid w:val="DEB7105F"/>
    <w:multiLevelType w:val="multilevel"/>
    <w:tmpl w:val="DEB7105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BD74FE0"/>
    <w:multiLevelType w:val="singleLevel"/>
    <w:tmpl w:val="FBD74FE0"/>
    <w:lvl w:ilvl="0" w:tentative="0">
      <w:start w:val="1"/>
      <w:numFmt w:val="bullet"/>
      <w:pStyle w:val="15"/>
      <w:lvlText w:val=""/>
      <w:lvlJc w:val="left"/>
      <w:pPr>
        <w:tabs>
          <w:tab w:val="left" w:pos="360"/>
        </w:tabs>
        <w:ind w:left="360" w:hanging="360"/>
      </w:pPr>
      <w:rPr>
        <w:rFonts w:hint="default" w:ascii="Wingdings" w:hAnsi="Wingdings"/>
      </w:rPr>
    </w:lvl>
  </w:abstractNum>
  <w:abstractNum w:abstractNumId="3">
    <w:nsid w:val="FF7AAC89"/>
    <w:multiLevelType w:val="singleLevel"/>
    <w:tmpl w:val="FF7AAC89"/>
    <w:lvl w:ilvl="0" w:tentative="0">
      <w:start w:val="1"/>
      <w:numFmt w:val="decimal"/>
      <w:pStyle w:val="13"/>
      <w:lvlText w:val="%1."/>
      <w:lvlJc w:val="left"/>
      <w:pPr>
        <w:tabs>
          <w:tab w:val="left" w:pos="360"/>
        </w:tabs>
        <w:ind w:left="360" w:hanging="360"/>
      </w:pPr>
    </w:lvl>
  </w:abstractNum>
  <w:abstractNum w:abstractNumId="4">
    <w:nsid w:val="FFFC8AEA"/>
    <w:multiLevelType w:val="singleLevel"/>
    <w:tmpl w:val="FFFC8AEA"/>
    <w:lvl w:ilvl="0" w:tentative="0">
      <w:start w:val="1"/>
      <w:numFmt w:val="bullet"/>
      <w:lvlText w:val=""/>
      <w:lvlJc w:val="left"/>
      <w:pPr>
        <w:ind w:left="420" w:hanging="420"/>
      </w:pPr>
      <w:rPr>
        <w:rFonts w:hint="default" w:ascii="Wingdings" w:hAnsi="Wingdings"/>
      </w:rPr>
    </w:lvl>
  </w:abstractNum>
  <w:abstractNum w:abstractNumId="5">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6">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7">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8">
    <w:nsid w:val="70146DC0"/>
    <w:multiLevelType w:val="multilevel"/>
    <w:tmpl w:val="70146DC0"/>
    <w:lvl w:ilvl="0" w:tentative="0">
      <w:start w:val="1"/>
      <w:numFmt w:val="bullet"/>
      <w:pStyle w:val="5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3"/>
  </w:num>
  <w:num w:numId="3">
    <w:abstractNumId w:val="2"/>
  </w:num>
  <w:num w:numId="4">
    <w:abstractNumId w:val="8"/>
  </w:num>
  <w:num w:numId="5">
    <w:abstractNumId w:val="6"/>
  </w:num>
  <w:num w:numId="6">
    <w:abstractNumId w:val="1"/>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1FBFF60"/>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AEB60D4"/>
    <w:rsid w:val="3B0B0E31"/>
    <w:rsid w:val="3BDE98A4"/>
    <w:rsid w:val="3BDF187F"/>
    <w:rsid w:val="3C5E1386"/>
    <w:rsid w:val="3C6A376B"/>
    <w:rsid w:val="3CAD3871"/>
    <w:rsid w:val="3D2C404F"/>
    <w:rsid w:val="3D4FA6A7"/>
    <w:rsid w:val="3D794C69"/>
    <w:rsid w:val="3DFD2B33"/>
    <w:rsid w:val="3DFEA3AF"/>
    <w:rsid w:val="3DFFC8B2"/>
    <w:rsid w:val="3E4459B8"/>
    <w:rsid w:val="3E6B1C59"/>
    <w:rsid w:val="3E7F4774"/>
    <w:rsid w:val="3EAFFFA3"/>
    <w:rsid w:val="3EFD8626"/>
    <w:rsid w:val="3F6658E6"/>
    <w:rsid w:val="3F6F6A24"/>
    <w:rsid w:val="3F7DC95A"/>
    <w:rsid w:val="3FA2285D"/>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CFBFF7C"/>
    <w:rsid w:val="4CFD9E08"/>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D3A53"/>
    <w:rsid w:val="5DDF5671"/>
    <w:rsid w:val="5DEDE79E"/>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F2B2544"/>
    <w:rsid w:val="6FB58093"/>
    <w:rsid w:val="6FBBCC3F"/>
    <w:rsid w:val="6FCF2FF4"/>
    <w:rsid w:val="6FF7E176"/>
    <w:rsid w:val="70A04FBC"/>
    <w:rsid w:val="72041505"/>
    <w:rsid w:val="72F16DFA"/>
    <w:rsid w:val="733F85BC"/>
    <w:rsid w:val="73A25C56"/>
    <w:rsid w:val="73FE447C"/>
    <w:rsid w:val="73FF2BB4"/>
    <w:rsid w:val="740B2A1F"/>
    <w:rsid w:val="74566E86"/>
    <w:rsid w:val="74FF7320"/>
    <w:rsid w:val="757B2FF8"/>
    <w:rsid w:val="75DF6A2F"/>
    <w:rsid w:val="75E11EE8"/>
    <w:rsid w:val="767FFFB6"/>
    <w:rsid w:val="772665FC"/>
    <w:rsid w:val="772B48E7"/>
    <w:rsid w:val="77366967"/>
    <w:rsid w:val="776C150F"/>
    <w:rsid w:val="777FE0CF"/>
    <w:rsid w:val="77C3C807"/>
    <w:rsid w:val="77D9BB91"/>
    <w:rsid w:val="77F37F57"/>
    <w:rsid w:val="77F7E429"/>
    <w:rsid w:val="77FC5BC6"/>
    <w:rsid w:val="77FE958D"/>
    <w:rsid w:val="77FF57C1"/>
    <w:rsid w:val="77FF6E47"/>
    <w:rsid w:val="78610694"/>
    <w:rsid w:val="788A13BF"/>
    <w:rsid w:val="78A377B2"/>
    <w:rsid w:val="78CF9076"/>
    <w:rsid w:val="78FF90C4"/>
    <w:rsid w:val="795FBC9B"/>
    <w:rsid w:val="797F27E9"/>
    <w:rsid w:val="79E42D9A"/>
    <w:rsid w:val="79FF54AC"/>
    <w:rsid w:val="7ABC00E2"/>
    <w:rsid w:val="7B35744F"/>
    <w:rsid w:val="7B35A897"/>
    <w:rsid w:val="7B3F548A"/>
    <w:rsid w:val="7B503B8C"/>
    <w:rsid w:val="7B7EFC4A"/>
    <w:rsid w:val="7BC34DAB"/>
    <w:rsid w:val="7BCF0B51"/>
    <w:rsid w:val="7BD74FB2"/>
    <w:rsid w:val="7BDBB103"/>
    <w:rsid w:val="7BF7DAA8"/>
    <w:rsid w:val="7C2571BC"/>
    <w:rsid w:val="7C5F4CF0"/>
    <w:rsid w:val="7C666996"/>
    <w:rsid w:val="7C7F5CE7"/>
    <w:rsid w:val="7CA15039"/>
    <w:rsid w:val="7CD54AA1"/>
    <w:rsid w:val="7CE7C0F0"/>
    <w:rsid w:val="7CFB8D33"/>
    <w:rsid w:val="7D6CD582"/>
    <w:rsid w:val="7D72B7FF"/>
    <w:rsid w:val="7D776755"/>
    <w:rsid w:val="7D8D41BC"/>
    <w:rsid w:val="7DAD07BE"/>
    <w:rsid w:val="7DBD72FD"/>
    <w:rsid w:val="7DBF09C0"/>
    <w:rsid w:val="7DDD9569"/>
    <w:rsid w:val="7DFDED1E"/>
    <w:rsid w:val="7E2B7701"/>
    <w:rsid w:val="7E891548"/>
    <w:rsid w:val="7E894D3F"/>
    <w:rsid w:val="7EA146AC"/>
    <w:rsid w:val="7ECFE177"/>
    <w:rsid w:val="7EEB0810"/>
    <w:rsid w:val="7EF666CC"/>
    <w:rsid w:val="7EFD3C2C"/>
    <w:rsid w:val="7EFEB416"/>
    <w:rsid w:val="7F5F03C4"/>
    <w:rsid w:val="7F5F59F3"/>
    <w:rsid w:val="7F777CAC"/>
    <w:rsid w:val="7F912972"/>
    <w:rsid w:val="7F975008"/>
    <w:rsid w:val="7F9F5B2E"/>
    <w:rsid w:val="7FBCE428"/>
    <w:rsid w:val="7FD75273"/>
    <w:rsid w:val="7FDC0D80"/>
    <w:rsid w:val="7FDE233F"/>
    <w:rsid w:val="7FEB6E10"/>
    <w:rsid w:val="7FEF9B6C"/>
    <w:rsid w:val="7FFB1202"/>
    <w:rsid w:val="7FFBC5B3"/>
    <w:rsid w:val="7FFCD67F"/>
    <w:rsid w:val="7FFD6BA2"/>
    <w:rsid w:val="7FFD70D7"/>
    <w:rsid w:val="7FFF46E4"/>
    <w:rsid w:val="7FFF4C60"/>
    <w:rsid w:val="7FFFEAAC"/>
    <w:rsid w:val="897D9E21"/>
    <w:rsid w:val="8AFEA0D3"/>
    <w:rsid w:val="8FDF5E6A"/>
    <w:rsid w:val="8FEB6DDC"/>
    <w:rsid w:val="92F7F979"/>
    <w:rsid w:val="93E7555A"/>
    <w:rsid w:val="97CDEA88"/>
    <w:rsid w:val="97FFB322"/>
    <w:rsid w:val="9BBF0AEE"/>
    <w:rsid w:val="9BDFC227"/>
    <w:rsid w:val="9EEB1666"/>
    <w:rsid w:val="A36F1787"/>
    <w:rsid w:val="A7D183B8"/>
    <w:rsid w:val="A7F32433"/>
    <w:rsid w:val="AEBE8991"/>
    <w:rsid w:val="AEFE4179"/>
    <w:rsid w:val="AEFE9EC5"/>
    <w:rsid w:val="AFEB760E"/>
    <w:rsid w:val="AFFFFE3E"/>
    <w:rsid w:val="B1FCBA3B"/>
    <w:rsid w:val="B3FE53B1"/>
    <w:rsid w:val="B5CF5D59"/>
    <w:rsid w:val="B66B744E"/>
    <w:rsid w:val="B6B6C47F"/>
    <w:rsid w:val="B73D0C3D"/>
    <w:rsid w:val="B7AF9641"/>
    <w:rsid w:val="B7B54743"/>
    <w:rsid w:val="B7BB78A9"/>
    <w:rsid w:val="B9DC71BE"/>
    <w:rsid w:val="B9E3CDD6"/>
    <w:rsid w:val="BA17FE94"/>
    <w:rsid w:val="BAFE9655"/>
    <w:rsid w:val="BC739896"/>
    <w:rsid w:val="BEEBEEB1"/>
    <w:rsid w:val="BF1FFA06"/>
    <w:rsid w:val="BF580821"/>
    <w:rsid w:val="BF5C85D2"/>
    <w:rsid w:val="BF77465D"/>
    <w:rsid w:val="BFDC8D70"/>
    <w:rsid w:val="BFEEBC2F"/>
    <w:rsid w:val="C4CF92FB"/>
    <w:rsid w:val="C5F6EFD2"/>
    <w:rsid w:val="C78F30F2"/>
    <w:rsid w:val="C7FD88C7"/>
    <w:rsid w:val="CBFE475B"/>
    <w:rsid w:val="CEDD30F2"/>
    <w:rsid w:val="D4BFFFC3"/>
    <w:rsid w:val="D6DFAE4B"/>
    <w:rsid w:val="D7DFAEDF"/>
    <w:rsid w:val="D7F768CD"/>
    <w:rsid w:val="D87A3C5C"/>
    <w:rsid w:val="D99F7B6E"/>
    <w:rsid w:val="DA1F8A03"/>
    <w:rsid w:val="DD7E827F"/>
    <w:rsid w:val="DDFDFB41"/>
    <w:rsid w:val="DE55220A"/>
    <w:rsid w:val="DFD360C6"/>
    <w:rsid w:val="DFDD8A97"/>
    <w:rsid w:val="DFF922AE"/>
    <w:rsid w:val="E3FFE2B0"/>
    <w:rsid w:val="E4EF32E2"/>
    <w:rsid w:val="E5FC7EC9"/>
    <w:rsid w:val="E6FFEDCF"/>
    <w:rsid w:val="E797C820"/>
    <w:rsid w:val="E7BC645C"/>
    <w:rsid w:val="E9FAE5A0"/>
    <w:rsid w:val="EAB96328"/>
    <w:rsid w:val="EACF7266"/>
    <w:rsid w:val="EB771A6F"/>
    <w:rsid w:val="EB7E3CA1"/>
    <w:rsid w:val="EBBE0548"/>
    <w:rsid w:val="EBFA594B"/>
    <w:rsid w:val="EC934008"/>
    <w:rsid w:val="EDBC7CD8"/>
    <w:rsid w:val="EDBF2ACF"/>
    <w:rsid w:val="EEB97187"/>
    <w:rsid w:val="EEF7184B"/>
    <w:rsid w:val="EF5F07B3"/>
    <w:rsid w:val="EFD7173A"/>
    <w:rsid w:val="EFFFAF70"/>
    <w:rsid w:val="F1F7417E"/>
    <w:rsid w:val="F2DF9A67"/>
    <w:rsid w:val="F3BF11AE"/>
    <w:rsid w:val="F4DF8938"/>
    <w:rsid w:val="F5ED68FD"/>
    <w:rsid w:val="F6FF99DE"/>
    <w:rsid w:val="F73F19B2"/>
    <w:rsid w:val="F772A964"/>
    <w:rsid w:val="F77E9978"/>
    <w:rsid w:val="F783F05E"/>
    <w:rsid w:val="F7BC8745"/>
    <w:rsid w:val="F7C38F43"/>
    <w:rsid w:val="F7DB5548"/>
    <w:rsid w:val="F7EBE53C"/>
    <w:rsid w:val="F7F73391"/>
    <w:rsid w:val="F7FBA641"/>
    <w:rsid w:val="F7FFB719"/>
    <w:rsid w:val="F8FACF12"/>
    <w:rsid w:val="F9727BE8"/>
    <w:rsid w:val="F9B60C06"/>
    <w:rsid w:val="F9F608DC"/>
    <w:rsid w:val="F9FAD8BF"/>
    <w:rsid w:val="FB0DDA02"/>
    <w:rsid w:val="FB2F790E"/>
    <w:rsid w:val="FBBFB79D"/>
    <w:rsid w:val="FBBFFAFF"/>
    <w:rsid w:val="FBF0B5C6"/>
    <w:rsid w:val="FBF72C08"/>
    <w:rsid w:val="FC74B4FF"/>
    <w:rsid w:val="FCB9FAC1"/>
    <w:rsid w:val="FCFB9AA0"/>
    <w:rsid w:val="FD7F3F5C"/>
    <w:rsid w:val="FD972D38"/>
    <w:rsid w:val="FDB61399"/>
    <w:rsid w:val="FDED6B39"/>
    <w:rsid w:val="FDF3009E"/>
    <w:rsid w:val="FDF6C23C"/>
    <w:rsid w:val="FDFA8D19"/>
    <w:rsid w:val="FDFB25DD"/>
    <w:rsid w:val="FDFF2EA2"/>
    <w:rsid w:val="FDFF9769"/>
    <w:rsid w:val="FECF4522"/>
    <w:rsid w:val="FEDFB1C7"/>
    <w:rsid w:val="FEEBB0DE"/>
    <w:rsid w:val="FEF75778"/>
    <w:rsid w:val="FEFD015D"/>
    <w:rsid w:val="FF770E38"/>
    <w:rsid w:val="FF9E9C17"/>
    <w:rsid w:val="FFAFA38E"/>
    <w:rsid w:val="FFB8A450"/>
    <w:rsid w:val="FFBD9900"/>
    <w:rsid w:val="FFCBA749"/>
    <w:rsid w:val="FFCF72DF"/>
    <w:rsid w:val="FFDF711A"/>
    <w:rsid w:val="FFED5024"/>
    <w:rsid w:val="FFF37FFC"/>
    <w:rsid w:val="FFF4C645"/>
    <w:rsid w:val="FFF6161C"/>
    <w:rsid w:val="FFF7DE59"/>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name="List Bullet"/>
    <w:lsdException w:qFormat="1"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31"/>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33"/>
    <w:autoRedefine/>
    <w:unhideWhenUsed/>
    <w:qFormat/>
    <w:uiPriority w:val="9"/>
    <w:pPr>
      <w:keepNext/>
      <w:keepLines/>
      <w:tabs>
        <w:tab w:val="left" w:pos="612"/>
      </w:tab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1"/>
    <w:next w:val="1"/>
    <w:link w:val="34"/>
    <w:autoRedefine/>
    <w:unhideWhenUsed/>
    <w:qFormat/>
    <w:uiPriority w:val="9"/>
    <w:pPr>
      <w:keepNext/>
      <w:keepLines/>
      <w:numPr>
        <w:ilvl w:val="2"/>
        <w:numId w:val="1"/>
      </w:numPr>
      <w:tabs>
        <w:tab w:val="left" w:pos="612"/>
      </w:tabs>
      <w:spacing w:before="260" w:after="260" w:line="416" w:lineRule="auto"/>
      <w:outlineLvl w:val="2"/>
    </w:pPr>
    <w:rPr>
      <w:sz w:val="32"/>
      <w:szCs w:val="32"/>
    </w:rPr>
  </w:style>
  <w:style w:type="paragraph" w:styleId="5">
    <w:name w:val="heading 4"/>
    <w:basedOn w:val="4"/>
    <w:next w:val="6"/>
    <w:link w:val="39"/>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5"/>
    <w:next w:val="1"/>
    <w:link w:val="40"/>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41"/>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42"/>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43"/>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4"/>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customStyle="1" w:styleId="6">
    <w:name w:val="Doc-title"/>
    <w:basedOn w:val="1"/>
    <w:next w:val="7"/>
    <w:autoRedefine/>
    <w:qFormat/>
    <w:uiPriority w:val="0"/>
    <w:pPr>
      <w:spacing w:before="60"/>
      <w:ind w:left="1259" w:hanging="1259"/>
    </w:pPr>
  </w:style>
  <w:style w:type="paragraph" w:customStyle="1" w:styleId="7">
    <w:name w:val="Doc-text2"/>
    <w:basedOn w:val="1"/>
    <w:autoRedefine/>
    <w:qFormat/>
    <w:uiPriority w:val="0"/>
    <w:pPr>
      <w:tabs>
        <w:tab w:val="left" w:pos="1622"/>
      </w:tabs>
      <w:spacing w:before="0"/>
      <w:ind w:left="1622" w:hanging="363"/>
    </w:pPr>
  </w:style>
  <w:style w:type="paragraph" w:styleId="13">
    <w:name w:val="List Number"/>
    <w:basedOn w:val="1"/>
    <w:semiHidden/>
    <w:unhideWhenUsed/>
    <w:qFormat/>
    <w:uiPriority w:val="99"/>
    <w:pPr>
      <w:numPr>
        <w:ilvl w:val="0"/>
        <w:numId w:val="2"/>
      </w:numPr>
    </w:pPr>
  </w:style>
  <w:style w:type="paragraph" w:styleId="14">
    <w:name w:val="caption"/>
    <w:basedOn w:val="1"/>
    <w:next w:val="1"/>
    <w:link w:val="36"/>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5">
    <w:name w:val="List Bullet"/>
    <w:basedOn w:val="1"/>
    <w:semiHidden/>
    <w:unhideWhenUsed/>
    <w:qFormat/>
    <w:uiPriority w:val="99"/>
    <w:pPr>
      <w:numPr>
        <w:ilvl w:val="0"/>
        <w:numId w:val="3"/>
      </w:numPr>
    </w:pPr>
  </w:style>
  <w:style w:type="paragraph" w:styleId="16">
    <w:name w:val="annotation text"/>
    <w:basedOn w:val="1"/>
    <w:link w:val="50"/>
    <w:autoRedefine/>
    <w:semiHidden/>
    <w:unhideWhenUsed/>
    <w:qFormat/>
    <w:uiPriority w:val="99"/>
    <w:pPr>
      <w:jc w:val="left"/>
    </w:pPr>
  </w:style>
  <w:style w:type="paragraph" w:styleId="17">
    <w:name w:val="Body Text"/>
    <w:basedOn w:val="1"/>
    <w:qFormat/>
    <w:uiPriority w:val="0"/>
    <w:pPr>
      <w:spacing w:before="180" w:after="180"/>
    </w:pPr>
  </w:style>
  <w:style w:type="paragraph" w:styleId="18">
    <w:name w:val="List 2"/>
    <w:basedOn w:val="19"/>
    <w:autoRedefine/>
    <w:qFormat/>
    <w:uiPriority w:val="0"/>
    <w:pPr>
      <w:ind w:left="851"/>
    </w:pPr>
  </w:style>
  <w:style w:type="paragraph" w:styleId="19">
    <w:name w:val="List"/>
    <w:basedOn w:val="1"/>
    <w:autoRedefine/>
    <w:qFormat/>
    <w:uiPriority w:val="0"/>
    <w:pPr>
      <w:ind w:left="568" w:hanging="284"/>
    </w:pPr>
  </w:style>
  <w:style w:type="paragraph" w:styleId="20">
    <w:name w:val="Balloon Text"/>
    <w:basedOn w:val="1"/>
    <w:link w:val="52"/>
    <w:autoRedefine/>
    <w:semiHidden/>
    <w:unhideWhenUsed/>
    <w:qFormat/>
    <w:uiPriority w:val="99"/>
    <w:rPr>
      <w:sz w:val="18"/>
      <w:szCs w:val="18"/>
    </w:rPr>
  </w:style>
  <w:style w:type="paragraph" w:styleId="21">
    <w:name w:val="footer"/>
    <w:basedOn w:val="1"/>
    <w:link w:val="49"/>
    <w:autoRedefine/>
    <w:unhideWhenUsed/>
    <w:qFormat/>
    <w:uiPriority w:val="99"/>
    <w:pPr>
      <w:tabs>
        <w:tab w:val="center" w:pos="4153"/>
        <w:tab w:val="right" w:pos="8306"/>
      </w:tabs>
      <w:snapToGrid w:val="0"/>
      <w:jc w:val="left"/>
    </w:pPr>
    <w:rPr>
      <w:sz w:val="18"/>
      <w:szCs w:val="18"/>
    </w:rPr>
  </w:style>
  <w:style w:type="paragraph" w:styleId="22">
    <w:name w:val="header"/>
    <w:basedOn w:val="1"/>
    <w:link w:val="4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4">
    <w:name w:val="annotation subject"/>
    <w:basedOn w:val="16"/>
    <w:next w:val="16"/>
    <w:link w:val="51"/>
    <w:autoRedefine/>
    <w:semiHidden/>
    <w:unhideWhenUsed/>
    <w:qFormat/>
    <w:uiPriority w:val="99"/>
    <w:rPr>
      <w:b/>
      <w:bCs/>
    </w:rPr>
  </w:style>
  <w:style w:type="table" w:styleId="26">
    <w:name w:val="Table Grid"/>
    <w:basedOn w:val="2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autoRedefine/>
    <w:qFormat/>
    <w:uiPriority w:val="22"/>
    <w:rPr>
      <w:b/>
    </w:rPr>
  </w:style>
  <w:style w:type="character" w:styleId="29">
    <w:name w:val="Emphasis"/>
    <w:basedOn w:val="27"/>
    <w:qFormat/>
    <w:uiPriority w:val="20"/>
    <w:rPr>
      <w:i/>
    </w:rPr>
  </w:style>
  <w:style w:type="character" w:styleId="30">
    <w:name w:val="annotation reference"/>
    <w:basedOn w:val="27"/>
    <w:autoRedefine/>
    <w:unhideWhenUsed/>
    <w:qFormat/>
    <w:uiPriority w:val="99"/>
    <w:rPr>
      <w:sz w:val="16"/>
      <w:szCs w:val="16"/>
    </w:rPr>
  </w:style>
  <w:style w:type="character" w:customStyle="1" w:styleId="31">
    <w:name w:val="标题 1 字符"/>
    <w:basedOn w:val="27"/>
    <w:link w:val="2"/>
    <w:autoRedefine/>
    <w:qFormat/>
    <w:uiPriority w:val="0"/>
    <w:rPr>
      <w:rFonts w:ascii="Arial" w:hAnsi="Arial" w:eastAsia="宋体" w:cs="Times New Roman"/>
      <w:b/>
      <w:kern w:val="0"/>
      <w:sz w:val="28"/>
      <w:szCs w:val="20"/>
      <w:lang w:val="en-GB" w:eastAsia="en-US"/>
    </w:rPr>
  </w:style>
  <w:style w:type="paragraph" w:customStyle="1" w:styleId="32">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2 字符"/>
    <w:basedOn w:val="27"/>
    <w:link w:val="3"/>
    <w:autoRedefine/>
    <w:qFormat/>
    <w:uiPriority w:val="9"/>
    <w:rPr>
      <w:rFonts w:eastAsia="Times New Roman" w:asciiTheme="majorHAnsi" w:hAnsiTheme="majorHAnsi" w:cstheme="majorBidi"/>
      <w:b/>
      <w:bCs/>
      <w:sz w:val="18"/>
      <w:szCs w:val="32"/>
    </w:rPr>
  </w:style>
  <w:style w:type="character" w:customStyle="1" w:styleId="34">
    <w:name w:val="标题 3 字符"/>
    <w:basedOn w:val="27"/>
    <w:link w:val="4"/>
    <w:autoRedefine/>
    <w:semiHidden/>
    <w:qFormat/>
    <w:uiPriority w:val="9"/>
    <w:rPr>
      <w:rFonts w:asciiTheme="minorHAnsi" w:hAnsiTheme="minorHAnsi" w:eastAsiaTheme="minorEastAsia"/>
      <w:b/>
      <w:bCs/>
      <w:sz w:val="32"/>
      <w:szCs w:val="32"/>
    </w:rPr>
  </w:style>
  <w:style w:type="paragraph" w:customStyle="1" w:styleId="35">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6">
    <w:name w:val="题注 字符"/>
    <w:link w:val="14"/>
    <w:qFormat/>
    <w:locked/>
    <w:uiPriority w:val="35"/>
    <w:rPr>
      <w:rFonts w:ascii="Times New Roman" w:hAnsi="Times New Roman" w:eastAsia="Times New Roman" w:cs="Times New Roman"/>
      <w:b/>
      <w:bCs/>
      <w:kern w:val="0"/>
      <w:sz w:val="24"/>
      <w:szCs w:val="24"/>
      <w:lang w:eastAsia="en-US"/>
    </w:rPr>
  </w:style>
  <w:style w:type="paragraph" w:styleId="37">
    <w:name w:val="List Paragraph"/>
    <w:basedOn w:val="1"/>
    <w:link w:val="38"/>
    <w:autoRedefine/>
    <w:qFormat/>
    <w:uiPriority w:val="34"/>
    <w:pPr>
      <w:widowControl/>
      <w:ind w:left="720"/>
      <w:jc w:val="left"/>
    </w:pPr>
    <w:rPr>
      <w:rFonts w:ascii="Calibri" w:hAnsi="Calibri" w:eastAsia="Calibri" w:cs="Times New Roman"/>
      <w:kern w:val="0"/>
      <w:sz w:val="22"/>
      <w:lang w:eastAsia="en-US"/>
    </w:rPr>
  </w:style>
  <w:style w:type="character" w:customStyle="1" w:styleId="38">
    <w:name w:val="列出段落 字符"/>
    <w:link w:val="37"/>
    <w:autoRedefine/>
    <w:qFormat/>
    <w:locked/>
    <w:uiPriority w:val="34"/>
    <w:rPr>
      <w:rFonts w:ascii="Calibri" w:hAnsi="Calibri" w:eastAsia="Calibri" w:cs="Times New Roman"/>
      <w:kern w:val="0"/>
      <w:sz w:val="22"/>
      <w:lang w:eastAsia="en-US"/>
    </w:rPr>
  </w:style>
  <w:style w:type="character" w:customStyle="1" w:styleId="39">
    <w:name w:val="标题 4 字符"/>
    <w:basedOn w:val="27"/>
    <w:link w:val="5"/>
    <w:qFormat/>
    <w:uiPriority w:val="0"/>
    <w:rPr>
      <w:rFonts w:ascii="Times New Roman" w:hAnsi="Times New Roman" w:eastAsia="MS Mincho" w:cs="Times New Roman"/>
      <w:b/>
      <w:bCs/>
      <w:kern w:val="0"/>
      <w:sz w:val="28"/>
      <w:szCs w:val="28"/>
      <w:lang w:eastAsia="en-US"/>
    </w:rPr>
  </w:style>
  <w:style w:type="character" w:customStyle="1" w:styleId="40">
    <w:name w:val="标题 5 字符"/>
    <w:basedOn w:val="27"/>
    <w:link w:val="8"/>
    <w:autoRedefine/>
    <w:qFormat/>
    <w:uiPriority w:val="0"/>
    <w:rPr>
      <w:rFonts w:ascii="Times New Roman" w:hAnsi="Times New Roman" w:eastAsia="Times New Roman" w:cs="Times New Roman"/>
      <w:b/>
      <w:bCs/>
      <w:kern w:val="0"/>
      <w:sz w:val="28"/>
      <w:szCs w:val="28"/>
      <w:lang w:eastAsia="en-US"/>
    </w:rPr>
  </w:style>
  <w:style w:type="character" w:customStyle="1" w:styleId="41">
    <w:name w:val="标题 6 字符"/>
    <w:basedOn w:val="27"/>
    <w:link w:val="9"/>
    <w:autoRedefine/>
    <w:qFormat/>
    <w:uiPriority w:val="0"/>
    <w:rPr>
      <w:rFonts w:ascii="Arial" w:hAnsi="Arial" w:eastAsia="黑体" w:cs="Times New Roman"/>
      <w:b/>
      <w:bCs/>
      <w:kern w:val="0"/>
      <w:sz w:val="24"/>
      <w:szCs w:val="24"/>
      <w:lang w:eastAsia="en-US"/>
    </w:rPr>
  </w:style>
  <w:style w:type="character" w:customStyle="1" w:styleId="42">
    <w:name w:val="标题 7 字符"/>
    <w:basedOn w:val="27"/>
    <w:link w:val="10"/>
    <w:autoRedefine/>
    <w:qFormat/>
    <w:uiPriority w:val="0"/>
    <w:rPr>
      <w:rFonts w:ascii="Times New Roman" w:hAnsi="Times New Roman" w:eastAsia="Times New Roman" w:cs="Times New Roman"/>
      <w:b/>
      <w:bCs/>
      <w:kern w:val="0"/>
      <w:sz w:val="24"/>
      <w:szCs w:val="24"/>
      <w:lang w:eastAsia="en-US"/>
    </w:rPr>
  </w:style>
  <w:style w:type="character" w:customStyle="1" w:styleId="43">
    <w:name w:val="标题 8 字符"/>
    <w:basedOn w:val="27"/>
    <w:link w:val="11"/>
    <w:autoRedefine/>
    <w:qFormat/>
    <w:uiPriority w:val="0"/>
    <w:rPr>
      <w:rFonts w:ascii="Arial" w:hAnsi="Arial" w:eastAsia="黑体" w:cs="Times New Roman"/>
      <w:kern w:val="0"/>
      <w:sz w:val="24"/>
      <w:szCs w:val="24"/>
      <w:lang w:eastAsia="en-US"/>
    </w:rPr>
  </w:style>
  <w:style w:type="character" w:customStyle="1" w:styleId="44">
    <w:name w:val="标题 9 字符"/>
    <w:basedOn w:val="27"/>
    <w:link w:val="12"/>
    <w:autoRedefine/>
    <w:qFormat/>
    <w:uiPriority w:val="0"/>
    <w:rPr>
      <w:rFonts w:ascii="Arial" w:hAnsi="Arial" w:eastAsia="黑体" w:cs="Times New Roman"/>
      <w:kern w:val="0"/>
      <w:szCs w:val="21"/>
      <w:lang w:eastAsia="en-US"/>
    </w:rPr>
  </w:style>
  <w:style w:type="paragraph" w:customStyle="1" w:styleId="45">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6">
    <w:name w:val="B1"/>
    <w:basedOn w:val="19"/>
    <w:autoRedefine/>
    <w:qFormat/>
    <w:uiPriority w:val="0"/>
    <w:pPr>
      <w:ind w:left="568" w:hanging="284"/>
    </w:pPr>
  </w:style>
  <w:style w:type="paragraph" w:customStyle="1" w:styleId="47">
    <w:name w:val="NO"/>
    <w:basedOn w:val="1"/>
    <w:autoRedefine/>
    <w:qFormat/>
    <w:uiPriority w:val="0"/>
    <w:pPr>
      <w:keepLines/>
      <w:ind w:left="1135" w:hanging="851"/>
    </w:pPr>
  </w:style>
  <w:style w:type="character" w:customStyle="1" w:styleId="48">
    <w:name w:val="页眉 字符"/>
    <w:basedOn w:val="27"/>
    <w:link w:val="22"/>
    <w:autoRedefine/>
    <w:qFormat/>
    <w:uiPriority w:val="99"/>
    <w:rPr>
      <w:rFonts w:asciiTheme="minorHAnsi" w:hAnsiTheme="minorHAnsi" w:eastAsiaTheme="minorEastAsia" w:cstheme="minorBidi"/>
      <w:kern w:val="2"/>
      <w:sz w:val="18"/>
      <w:szCs w:val="18"/>
    </w:rPr>
  </w:style>
  <w:style w:type="character" w:customStyle="1" w:styleId="49">
    <w:name w:val="页脚 字符"/>
    <w:basedOn w:val="27"/>
    <w:link w:val="21"/>
    <w:autoRedefine/>
    <w:qFormat/>
    <w:uiPriority w:val="99"/>
    <w:rPr>
      <w:rFonts w:asciiTheme="minorHAnsi" w:hAnsiTheme="minorHAnsi" w:eastAsiaTheme="minorEastAsia" w:cstheme="minorBidi"/>
      <w:kern w:val="2"/>
      <w:sz w:val="18"/>
      <w:szCs w:val="18"/>
    </w:rPr>
  </w:style>
  <w:style w:type="character" w:customStyle="1" w:styleId="50">
    <w:name w:val="批注文字 字符"/>
    <w:basedOn w:val="27"/>
    <w:link w:val="16"/>
    <w:semiHidden/>
    <w:qFormat/>
    <w:uiPriority w:val="99"/>
    <w:rPr>
      <w:rFonts w:asciiTheme="minorHAnsi" w:hAnsiTheme="minorHAnsi" w:eastAsiaTheme="minorEastAsia" w:cstheme="minorBidi"/>
      <w:kern w:val="2"/>
      <w:sz w:val="21"/>
      <w:szCs w:val="22"/>
    </w:rPr>
  </w:style>
  <w:style w:type="character" w:customStyle="1" w:styleId="51">
    <w:name w:val="批注主题 字符"/>
    <w:basedOn w:val="50"/>
    <w:link w:val="24"/>
    <w:semiHidden/>
    <w:qFormat/>
    <w:uiPriority w:val="99"/>
    <w:rPr>
      <w:rFonts w:asciiTheme="minorHAnsi" w:hAnsiTheme="minorHAnsi" w:eastAsiaTheme="minorEastAsia" w:cstheme="minorBidi"/>
      <w:b/>
      <w:bCs/>
      <w:kern w:val="2"/>
      <w:sz w:val="21"/>
      <w:szCs w:val="22"/>
    </w:rPr>
  </w:style>
  <w:style w:type="character" w:customStyle="1" w:styleId="52">
    <w:name w:val="批注框文本 字符"/>
    <w:basedOn w:val="27"/>
    <w:link w:val="20"/>
    <w:semiHidden/>
    <w:qFormat/>
    <w:uiPriority w:val="99"/>
    <w:rPr>
      <w:rFonts w:asciiTheme="minorHAnsi" w:hAnsiTheme="minorHAnsi" w:eastAsiaTheme="minorEastAsia" w:cstheme="minorBidi"/>
      <w:kern w:val="2"/>
      <w:sz w:val="18"/>
      <w:szCs w:val="18"/>
    </w:rPr>
  </w:style>
  <w:style w:type="paragraph" w:customStyle="1" w:styleId="5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4">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5">
    <w:name w:val="Comments"/>
    <w:basedOn w:val="1"/>
    <w:qFormat/>
    <w:uiPriority w:val="0"/>
    <w:rPr>
      <w:i/>
      <w:sz w:val="18"/>
    </w:rPr>
  </w:style>
  <w:style w:type="paragraph" w:customStyle="1" w:styleId="56">
    <w:name w:val="Agreement"/>
    <w:basedOn w:val="1"/>
    <w:next w:val="7"/>
    <w:qFormat/>
    <w:uiPriority w:val="0"/>
    <w:pPr>
      <w:numPr>
        <w:ilvl w:val="0"/>
        <w:numId w:val="4"/>
      </w:numPr>
      <w:tabs>
        <w:tab w:val="left" w:pos="1619"/>
        <w:tab w:val="clear" w:pos="1352"/>
      </w:tabs>
      <w:spacing w:after="0"/>
      <w:ind w:left="1619"/>
      <w:jc w:val="left"/>
    </w:pPr>
    <w:rPr>
      <w:rFonts w:eastAsia="MS Mincho"/>
      <w:b/>
      <w:szCs w:val="24"/>
      <w:lang w:val="en-GB" w:eastAsia="en-GB"/>
    </w:rPr>
  </w:style>
  <w:style w:type="paragraph" w:customStyle="1" w:styleId="57">
    <w:name w:val="B2"/>
    <w:basedOn w:val="18"/>
    <w:qFormat/>
    <w:uiPriority w:val="0"/>
    <w:pPr>
      <w:ind w:left="851" w:hanging="284"/>
    </w:pPr>
  </w:style>
  <w:style w:type="paragraph" w:customStyle="1" w:styleId="58">
    <w:name w:val="Guidance"/>
    <w:basedOn w:val="1"/>
    <w:qFormat/>
    <w:uiPriority w:val="0"/>
    <w:pPr>
      <w:textAlignment w:val="auto"/>
    </w:pPr>
    <w:rPr>
      <w:rFonts w:eastAsia="Times New Roman"/>
      <w:i/>
      <w:color w:val="000000"/>
      <w:lang w:eastAsia="ja-JP"/>
    </w:rPr>
  </w:style>
  <w:style w:type="paragraph" w:customStyle="1" w:styleId="59">
    <w:name w:val="CR Cover Page"/>
    <w:qFormat/>
    <w:uiPriority w:val="0"/>
    <w:pPr>
      <w:spacing w:after="120"/>
    </w:pPr>
    <w:rPr>
      <w:rFonts w:ascii="Arial" w:hAnsi="Arial" w:eastAsia="宋体" w:cs="Times New Roman"/>
      <w:lang w:val="en-GB" w:eastAsia="en-US" w:bidi="ar-SA"/>
    </w:rPr>
  </w:style>
  <w:style w:type="paragraph" w:customStyle="1" w:styleId="60">
    <w:name w:val="TH"/>
    <w:basedOn w:val="1"/>
    <w:autoRedefine/>
    <w:qFormat/>
    <w:uiPriority w:val="0"/>
    <w:pPr>
      <w:keepNext/>
      <w:keepLines/>
      <w:spacing w:before="60"/>
      <w:jc w:val="center"/>
    </w:pPr>
    <w:rPr>
      <w:rFonts w:ascii="Arial" w:hAnsi="Arial"/>
      <w:b/>
    </w:rPr>
  </w:style>
  <w:style w:type="paragraph" w:customStyle="1" w:styleId="61">
    <w:name w:val="TF"/>
    <w:basedOn w:val="60"/>
    <w:autoRedefine/>
    <w:qFormat/>
    <w:uiPriority w:val="0"/>
    <w:pPr>
      <w:keepNext w:val="0"/>
      <w:spacing w:before="0" w:after="240"/>
    </w:pPr>
  </w:style>
  <w:style w:type="paragraph" w:customStyle="1" w:styleId="62">
    <w:name w:val="First Paragraph"/>
    <w:basedOn w:val="17"/>
    <w:next w:val="17"/>
    <w:qFormat/>
    <w:uiPriority w:val="0"/>
  </w:style>
  <w:style w:type="paragraph" w:customStyle="1" w:styleId="63">
    <w:name w:val="Compact"/>
    <w:basedOn w:val="17"/>
    <w:qFormat/>
    <w:uiPriority w:val="0"/>
    <w:pPr>
      <w:spacing w:before="36" w:after="36"/>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1173</Words>
  <Characters>6343</Characters>
  <Lines>84</Lines>
  <Paragraphs>23</Paragraphs>
  <TotalTime>0</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2022-03-22T10:40:00Z</dcterms:created>
  <dc:creator>tcl</dc:creator>
  <cp:lastModifiedBy>TCL</cp:lastModifiedBy>
  <dcterms:modified xsi:type="dcterms:W3CDTF">2025-11-06T15:16:05Z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E7ED0BB24E70D18C354B0C696B6B43DB_43</vt:lpwstr>
  </property>
</Properties>
</file>